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21C82" w14:textId="77777777" w:rsidR="00443A53" w:rsidRDefault="009C1861">
      <w:pPr>
        <w:pStyle w:val="BodyText"/>
        <w:ind w:left="8567"/>
        <w:rPr>
          <w:rFonts w:ascii="Times New Roman"/>
          <w:sz w:val="20"/>
        </w:rPr>
      </w:pPr>
      <w:r>
        <w:rPr>
          <w:rFonts w:ascii="Times New Roman"/>
          <w:noProof/>
          <w:sz w:val="20"/>
        </w:rPr>
        <w:drawing>
          <wp:inline distT="0" distB="0" distL="0" distR="0" wp14:anchorId="142B4A65" wp14:editId="5BD1BFA9">
            <wp:extent cx="1209733" cy="107708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209733" cy="1077086"/>
                    </a:xfrm>
                    <a:prstGeom prst="rect">
                      <a:avLst/>
                    </a:prstGeom>
                  </pic:spPr>
                </pic:pic>
              </a:graphicData>
            </a:graphic>
          </wp:inline>
        </w:drawing>
      </w:r>
    </w:p>
    <w:p w14:paraId="300C6B0A" w14:textId="77777777" w:rsidR="00443A53" w:rsidRDefault="00443A53">
      <w:pPr>
        <w:pStyle w:val="BodyText"/>
        <w:spacing w:before="7"/>
        <w:rPr>
          <w:rFonts w:ascii="Times New Roman"/>
          <w:sz w:val="29"/>
        </w:rPr>
      </w:pPr>
    </w:p>
    <w:p w14:paraId="677320DE" w14:textId="77777777" w:rsidR="00443A53" w:rsidRDefault="002828A9" w:rsidP="002828A9">
      <w:pPr>
        <w:spacing w:before="101"/>
        <w:rPr>
          <w:rFonts w:ascii="Tahoma"/>
          <w:sz w:val="40"/>
        </w:rPr>
      </w:pPr>
      <w:r>
        <w:rPr>
          <w:rFonts w:ascii="Tahoma" w:eastAsiaTheme="minorHAnsi" w:hAnsi="Tahoma" w:cs="Tahoma"/>
          <w:b/>
          <w:color w:val="69AD22"/>
          <w:sz w:val="30"/>
          <w:szCs w:val="30"/>
        </w:rPr>
        <w:t xml:space="preserve"> </w:t>
      </w:r>
      <w:r w:rsidR="00FB6484">
        <w:rPr>
          <w:rFonts w:ascii="Tahoma" w:eastAsiaTheme="minorHAnsi" w:hAnsi="Tahoma" w:cs="Tahoma"/>
          <w:b/>
          <w:color w:val="69AD22"/>
          <w:sz w:val="30"/>
          <w:szCs w:val="30"/>
        </w:rPr>
        <w:t xml:space="preserve">     </w:t>
      </w:r>
      <w:r>
        <w:rPr>
          <w:rFonts w:ascii="Tahoma" w:eastAsiaTheme="minorHAnsi" w:hAnsi="Tahoma" w:cs="Tahoma"/>
          <w:b/>
          <w:color w:val="69AD22"/>
          <w:sz w:val="30"/>
          <w:szCs w:val="30"/>
        </w:rPr>
        <w:t xml:space="preserve">Annex </w:t>
      </w:r>
      <w:r w:rsidR="00FB6484">
        <w:rPr>
          <w:rFonts w:ascii="Tahoma" w:eastAsiaTheme="minorHAnsi" w:hAnsi="Tahoma" w:cs="Tahoma"/>
          <w:b/>
          <w:color w:val="69AD22"/>
          <w:sz w:val="30"/>
          <w:szCs w:val="30"/>
        </w:rPr>
        <w:t>1.6</w:t>
      </w:r>
      <w:r w:rsidR="003150F3">
        <w:pict w14:anchorId="18B28E5D">
          <v:group id="_x0000_s1026" style="position:absolute;margin-left:1.1pt;margin-top:29.1pt;width:594.25pt;height:82.85pt;z-index:1048;mso-position-horizontal-relative:page;mso-position-vertical-relative:text" coordorigin="22,582" coordsize="11885,1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2;top:582;width:11885;height:1657">
              <v:imagedata r:id="rId11" o:title=""/>
            </v:shape>
            <v:shapetype id="_x0000_t202" coordsize="21600,21600" o:spt="202" path="m,l,21600r21600,l21600,xe">
              <v:stroke joinstyle="miter"/>
              <v:path gradientshapeok="t" o:connecttype="rect"/>
            </v:shapetype>
            <v:shape id="_x0000_s1027" type="#_x0000_t202" style="position:absolute;left:22;top:582;width:11885;height:1657" filled="f" stroked="f">
              <v:textbox inset="0,0,0,0">
                <w:txbxContent>
                  <w:p w14:paraId="04E99CDF" w14:textId="77777777" w:rsidR="00443A53" w:rsidRDefault="00443A53">
                    <w:pPr>
                      <w:spacing w:before="9"/>
                      <w:rPr>
                        <w:b/>
                        <w:sz w:val="39"/>
                      </w:rPr>
                    </w:pPr>
                  </w:p>
                  <w:p w14:paraId="1133C030" w14:textId="77777777" w:rsidR="00443A53" w:rsidRDefault="002828A9">
                    <w:pPr>
                      <w:ind w:left="1375"/>
                      <w:rPr>
                        <w:rFonts w:ascii="Tahoma"/>
                        <w:b/>
                        <w:sz w:val="40"/>
                      </w:rPr>
                    </w:pPr>
                    <w:r>
                      <w:rPr>
                        <w:rFonts w:ascii="Tahoma"/>
                        <w:b/>
                        <w:color w:val="FFFFFF"/>
                        <w:sz w:val="40"/>
                      </w:rPr>
                      <w:t>Participant</w:t>
                    </w:r>
                    <w:r w:rsidR="009C1861">
                      <w:rPr>
                        <w:rFonts w:ascii="Tahoma"/>
                        <w:b/>
                        <w:color w:val="FFFFFF"/>
                        <w:sz w:val="40"/>
                      </w:rPr>
                      <w:t xml:space="preserve"> Briefing</w:t>
                    </w:r>
                  </w:p>
                </w:txbxContent>
              </v:textbox>
            </v:shape>
            <w10:wrap anchorx="page"/>
          </v:group>
        </w:pict>
      </w:r>
      <w:r>
        <w:rPr>
          <w:rFonts w:ascii="Tahoma" w:eastAsiaTheme="minorHAnsi" w:hAnsi="Tahoma" w:cs="Tahoma"/>
          <w:b/>
          <w:color w:val="69AD22"/>
          <w:sz w:val="30"/>
          <w:szCs w:val="30"/>
        </w:rPr>
        <w:tab/>
      </w:r>
      <w:r>
        <w:rPr>
          <w:rFonts w:ascii="Tahoma" w:eastAsiaTheme="minorHAnsi" w:hAnsi="Tahoma" w:cs="Tahoma"/>
          <w:b/>
          <w:color w:val="69AD22"/>
          <w:sz w:val="30"/>
          <w:szCs w:val="30"/>
        </w:rPr>
        <w:tab/>
      </w:r>
      <w:r>
        <w:rPr>
          <w:rFonts w:ascii="Tahoma" w:eastAsiaTheme="minorHAnsi" w:hAnsi="Tahoma" w:cs="Tahoma"/>
          <w:b/>
          <w:color w:val="69AD22"/>
          <w:sz w:val="30"/>
          <w:szCs w:val="30"/>
        </w:rPr>
        <w:tab/>
      </w:r>
      <w:r>
        <w:rPr>
          <w:rFonts w:ascii="Tahoma" w:eastAsiaTheme="minorHAnsi" w:hAnsi="Tahoma" w:cs="Tahoma"/>
          <w:b/>
          <w:color w:val="69AD22"/>
          <w:sz w:val="30"/>
          <w:szCs w:val="30"/>
        </w:rPr>
        <w:tab/>
      </w:r>
      <w:r>
        <w:rPr>
          <w:rFonts w:ascii="Tahoma" w:eastAsiaTheme="minorHAnsi" w:hAnsi="Tahoma" w:cs="Tahoma"/>
          <w:b/>
          <w:color w:val="69AD22"/>
          <w:sz w:val="30"/>
          <w:szCs w:val="30"/>
        </w:rPr>
        <w:tab/>
      </w:r>
      <w:r>
        <w:rPr>
          <w:rFonts w:ascii="Tahoma" w:eastAsiaTheme="minorHAnsi" w:hAnsi="Tahoma" w:cs="Tahoma"/>
          <w:b/>
          <w:color w:val="69AD22"/>
          <w:sz w:val="30"/>
          <w:szCs w:val="30"/>
        </w:rPr>
        <w:tab/>
      </w:r>
      <w:r w:rsidR="009C1861">
        <w:rPr>
          <w:rFonts w:ascii="Tahoma"/>
          <w:b/>
          <w:color w:val="808080"/>
          <w:sz w:val="40"/>
        </w:rPr>
        <w:t xml:space="preserve">ECDC </w:t>
      </w:r>
      <w:r w:rsidR="009C1861">
        <w:rPr>
          <w:rFonts w:ascii="Tahoma"/>
          <w:color w:val="808080"/>
          <w:sz w:val="40"/>
        </w:rPr>
        <w:t>Simulation Exercise</w:t>
      </w:r>
      <w:r>
        <w:rPr>
          <w:rFonts w:ascii="Tahoma"/>
          <w:color w:val="808080"/>
          <w:sz w:val="40"/>
        </w:rPr>
        <w:t xml:space="preserve"> Vector</w:t>
      </w:r>
    </w:p>
    <w:p w14:paraId="46C0D45E" w14:textId="77777777" w:rsidR="00443A53" w:rsidRDefault="00443A53">
      <w:pPr>
        <w:pStyle w:val="BodyText"/>
        <w:rPr>
          <w:rFonts w:ascii="Tahoma"/>
          <w:sz w:val="48"/>
        </w:rPr>
      </w:pPr>
    </w:p>
    <w:p w14:paraId="6E9FED51" w14:textId="77777777" w:rsidR="00443A53" w:rsidRDefault="00443A53">
      <w:pPr>
        <w:pStyle w:val="BodyText"/>
        <w:rPr>
          <w:rFonts w:ascii="Tahoma"/>
          <w:sz w:val="48"/>
        </w:rPr>
      </w:pPr>
    </w:p>
    <w:p w14:paraId="08602E19" w14:textId="77777777" w:rsidR="00443A53" w:rsidRDefault="00443A53">
      <w:pPr>
        <w:pStyle w:val="BodyText"/>
        <w:rPr>
          <w:rFonts w:ascii="Tahoma"/>
          <w:sz w:val="48"/>
        </w:rPr>
      </w:pPr>
    </w:p>
    <w:p w14:paraId="6CD51752" w14:textId="77777777" w:rsidR="00443A53" w:rsidRDefault="009C1861">
      <w:pPr>
        <w:pStyle w:val="Heading1"/>
        <w:spacing w:before="393"/>
      </w:pPr>
      <w:r>
        <w:t>Introduction</w:t>
      </w:r>
    </w:p>
    <w:p w14:paraId="45ECA55E" w14:textId="77777777" w:rsidR="00443A53" w:rsidRDefault="009C1861">
      <w:pPr>
        <w:pStyle w:val="BodyText"/>
        <w:spacing w:before="175"/>
        <w:ind w:left="1440"/>
      </w:pPr>
      <w:r>
        <w:t>Thank you for agreeing to take part in the ECDC simulation exercise.</w:t>
      </w:r>
    </w:p>
    <w:p w14:paraId="2290D54D" w14:textId="77777777" w:rsidR="00443A53" w:rsidRDefault="00443A53">
      <w:pPr>
        <w:pStyle w:val="BodyText"/>
        <w:spacing w:before="7"/>
        <w:rPr>
          <w:sz w:val="33"/>
        </w:rPr>
      </w:pPr>
    </w:p>
    <w:p w14:paraId="2953AFC2" w14:textId="77777777" w:rsidR="00443A53" w:rsidRDefault="009C1861">
      <w:pPr>
        <w:spacing w:line="288" w:lineRule="auto"/>
        <w:ind w:left="1440" w:right="1499"/>
        <w:rPr>
          <w:sz w:val="24"/>
        </w:rPr>
      </w:pPr>
      <w:r>
        <w:rPr>
          <w:sz w:val="24"/>
        </w:rPr>
        <w:t xml:space="preserve">This simulation exercise will be held on [Date] at the </w:t>
      </w:r>
      <w:r>
        <w:rPr>
          <w:b/>
          <w:sz w:val="24"/>
        </w:rPr>
        <w:t xml:space="preserve">MS Venue. </w:t>
      </w:r>
      <w:r>
        <w:rPr>
          <w:sz w:val="24"/>
        </w:rPr>
        <w:t>Registration will open from 08:30 and start promptly at 09:00.</w:t>
      </w:r>
    </w:p>
    <w:p w14:paraId="0A8A7594" w14:textId="77777777" w:rsidR="00443A53" w:rsidRDefault="009C1861">
      <w:pPr>
        <w:pStyle w:val="BodyText"/>
        <w:spacing w:before="1" w:line="288" w:lineRule="auto"/>
        <w:ind w:left="1440" w:right="1568"/>
        <w:jc w:val="both"/>
      </w:pPr>
      <w:r>
        <w:t xml:space="preserve">Delegates will receive a name badge when they register which should be </w:t>
      </w:r>
      <w:proofErr w:type="gramStart"/>
      <w:r>
        <w:t>worn at all times</w:t>
      </w:r>
      <w:proofErr w:type="gramEnd"/>
      <w:r>
        <w:t xml:space="preserve"> during the exercise. Refreshments will be available throughout the day and a buffet lunch will be served. The exercise will close on the [Date] at 16:00.</w:t>
      </w:r>
    </w:p>
    <w:p w14:paraId="7CCD68E8" w14:textId="77777777" w:rsidR="00443A53" w:rsidRDefault="00443A53">
      <w:pPr>
        <w:pStyle w:val="BodyText"/>
        <w:rPr>
          <w:sz w:val="29"/>
        </w:rPr>
      </w:pPr>
    </w:p>
    <w:p w14:paraId="6F3E8AAF" w14:textId="77777777" w:rsidR="00443A53" w:rsidRDefault="009C1861">
      <w:pPr>
        <w:pStyle w:val="BodyText"/>
        <w:spacing w:line="276" w:lineRule="auto"/>
        <w:ind w:left="1440" w:right="2539"/>
      </w:pPr>
      <w:r>
        <w:t>This briefing document contains information about how the exercise will be conducted and evaluated. The exercise will be delivered in English.</w:t>
      </w:r>
    </w:p>
    <w:p w14:paraId="4D5B45E6" w14:textId="77777777" w:rsidR="00443A53" w:rsidRDefault="00443A53">
      <w:pPr>
        <w:pStyle w:val="BodyText"/>
        <w:rPr>
          <w:sz w:val="26"/>
        </w:rPr>
      </w:pPr>
    </w:p>
    <w:p w14:paraId="1B6EC47D" w14:textId="77777777" w:rsidR="00443A53" w:rsidRDefault="009C1861">
      <w:pPr>
        <w:pStyle w:val="Heading1"/>
        <w:numPr>
          <w:ilvl w:val="0"/>
          <w:numId w:val="1"/>
        </w:numPr>
        <w:tabs>
          <w:tab w:val="left" w:pos="1801"/>
        </w:tabs>
      </w:pPr>
      <w:r>
        <w:t>Aim of the</w:t>
      </w:r>
      <w:r>
        <w:rPr>
          <w:spacing w:val="-2"/>
        </w:rPr>
        <w:t xml:space="preserve"> </w:t>
      </w:r>
      <w:r>
        <w:t>Exercise</w:t>
      </w:r>
    </w:p>
    <w:p w14:paraId="0374B76C" w14:textId="77777777" w:rsidR="00443A53" w:rsidRDefault="00443A53">
      <w:pPr>
        <w:pStyle w:val="BodyText"/>
        <w:spacing w:before="1"/>
        <w:rPr>
          <w:b/>
          <w:sz w:val="21"/>
        </w:rPr>
      </w:pPr>
    </w:p>
    <w:p w14:paraId="2FAD4CB4" w14:textId="77777777" w:rsidR="00443A53" w:rsidRDefault="009C1861">
      <w:pPr>
        <w:pStyle w:val="BodyText"/>
        <w:spacing w:line="276" w:lineRule="auto"/>
        <w:ind w:left="1440" w:right="1538"/>
      </w:pPr>
      <w:r>
        <w:t>To exercise the public health emergency preparedness of the participating countries to a major outbreak of mosquito-borne viral disease, of both national and international dimensions.</w:t>
      </w:r>
    </w:p>
    <w:p w14:paraId="26645E26" w14:textId="77777777" w:rsidR="00443A53" w:rsidRDefault="00443A53">
      <w:pPr>
        <w:pStyle w:val="BodyText"/>
        <w:spacing w:before="7"/>
        <w:rPr>
          <w:sz w:val="27"/>
        </w:rPr>
      </w:pPr>
    </w:p>
    <w:p w14:paraId="737C9997" w14:textId="77777777" w:rsidR="00443A53" w:rsidRDefault="009C1861">
      <w:pPr>
        <w:pStyle w:val="Heading1"/>
        <w:numPr>
          <w:ilvl w:val="0"/>
          <w:numId w:val="1"/>
        </w:numPr>
        <w:tabs>
          <w:tab w:val="left" w:pos="1801"/>
        </w:tabs>
      </w:pPr>
      <w:r>
        <w:t>Exercise</w:t>
      </w:r>
      <w:r>
        <w:rPr>
          <w:spacing w:val="-3"/>
        </w:rPr>
        <w:t xml:space="preserve"> </w:t>
      </w:r>
      <w:r>
        <w:t>Objectives</w:t>
      </w:r>
    </w:p>
    <w:p w14:paraId="1C29EF2D" w14:textId="77777777" w:rsidR="00687BF2" w:rsidRDefault="00687BF2">
      <w:pPr>
        <w:pStyle w:val="BodyText"/>
        <w:spacing w:before="82"/>
        <w:ind w:left="1440"/>
      </w:pPr>
    </w:p>
    <w:p w14:paraId="0EB3119A" w14:textId="39F58CDE" w:rsidR="00443A53" w:rsidRDefault="009C1861">
      <w:pPr>
        <w:pStyle w:val="BodyText"/>
        <w:spacing w:before="82"/>
        <w:ind w:left="1440"/>
      </w:pPr>
      <w:r>
        <w:t>The objectives of the exercise are:</w:t>
      </w:r>
    </w:p>
    <w:p w14:paraId="06B6EA9C" w14:textId="77777777" w:rsidR="00443A53" w:rsidRDefault="00443A53">
      <w:pPr>
        <w:pStyle w:val="BodyText"/>
        <w:spacing w:before="11"/>
        <w:rPr>
          <w:sz w:val="30"/>
        </w:rPr>
      </w:pPr>
    </w:p>
    <w:p w14:paraId="325315D9" w14:textId="77777777" w:rsidR="00443A53" w:rsidRDefault="009C1861">
      <w:pPr>
        <w:pStyle w:val="ListParagraph"/>
        <w:numPr>
          <w:ilvl w:val="1"/>
          <w:numId w:val="1"/>
        </w:numPr>
        <w:tabs>
          <w:tab w:val="left" w:pos="2160"/>
          <w:tab w:val="left" w:pos="2161"/>
        </w:tabs>
        <w:spacing w:line="276" w:lineRule="auto"/>
        <w:ind w:right="1737"/>
        <w:rPr>
          <w:sz w:val="24"/>
        </w:rPr>
      </w:pPr>
      <w:r>
        <w:rPr>
          <w:sz w:val="24"/>
        </w:rPr>
        <w:t>In-country emergency recognition and management: detect and risk assess the situation, activate emergency organisation and plans, manage and monitor the</w:t>
      </w:r>
      <w:r>
        <w:rPr>
          <w:spacing w:val="-1"/>
          <w:sz w:val="24"/>
        </w:rPr>
        <w:t xml:space="preserve"> </w:t>
      </w:r>
      <w:r>
        <w:rPr>
          <w:sz w:val="24"/>
        </w:rPr>
        <w:t>emergency;</w:t>
      </w:r>
    </w:p>
    <w:p w14:paraId="387A01FF" w14:textId="77777777" w:rsidR="00443A53" w:rsidRDefault="009C1861">
      <w:pPr>
        <w:pStyle w:val="ListParagraph"/>
        <w:numPr>
          <w:ilvl w:val="1"/>
          <w:numId w:val="1"/>
        </w:numPr>
        <w:tabs>
          <w:tab w:val="left" w:pos="2160"/>
          <w:tab w:val="left" w:pos="2161"/>
        </w:tabs>
        <w:spacing w:line="273" w:lineRule="auto"/>
        <w:ind w:right="2144"/>
        <w:rPr>
          <w:sz w:val="24"/>
        </w:rPr>
      </w:pPr>
      <w:r>
        <w:rPr>
          <w:sz w:val="24"/>
        </w:rPr>
        <w:t>Inter-sectoral collaboration: work effectively between the health and</w:t>
      </w:r>
      <w:r>
        <w:rPr>
          <w:spacing w:val="-27"/>
          <w:sz w:val="24"/>
        </w:rPr>
        <w:t xml:space="preserve"> </w:t>
      </w:r>
      <w:r>
        <w:rPr>
          <w:sz w:val="24"/>
        </w:rPr>
        <w:t>key related sectors, to assess the risks and manage the</w:t>
      </w:r>
      <w:r>
        <w:rPr>
          <w:spacing w:val="-17"/>
          <w:sz w:val="24"/>
        </w:rPr>
        <w:t xml:space="preserve"> </w:t>
      </w:r>
      <w:r>
        <w:rPr>
          <w:sz w:val="24"/>
        </w:rPr>
        <w:t>emergency;</w:t>
      </w:r>
    </w:p>
    <w:p w14:paraId="3BAB5726" w14:textId="77777777" w:rsidR="00443A53" w:rsidRDefault="009C1861">
      <w:pPr>
        <w:pStyle w:val="ListParagraph"/>
        <w:numPr>
          <w:ilvl w:val="1"/>
          <w:numId w:val="1"/>
        </w:numPr>
        <w:tabs>
          <w:tab w:val="left" w:pos="2160"/>
          <w:tab w:val="left" w:pos="2161"/>
        </w:tabs>
        <w:spacing w:line="276" w:lineRule="auto"/>
        <w:ind w:right="1449"/>
        <w:rPr>
          <w:sz w:val="24"/>
        </w:rPr>
      </w:pPr>
      <w:r>
        <w:rPr>
          <w:sz w:val="24"/>
        </w:rPr>
        <w:t xml:space="preserve">International collaboration: interact effectively with contiguous and other countries in the wider region, and international authorities, to assess, manage, </w:t>
      </w:r>
      <w:r>
        <w:rPr>
          <w:sz w:val="24"/>
        </w:rPr>
        <w:lastRenderedPageBreak/>
        <w:t>communicate and work collaboratively to address, mitigate and resolve the international</w:t>
      </w:r>
      <w:r>
        <w:rPr>
          <w:spacing w:val="-4"/>
          <w:sz w:val="24"/>
        </w:rPr>
        <w:t xml:space="preserve"> </w:t>
      </w:r>
      <w:r>
        <w:rPr>
          <w:sz w:val="24"/>
        </w:rPr>
        <w:t>emergency;</w:t>
      </w:r>
    </w:p>
    <w:p w14:paraId="373B1988" w14:textId="77777777" w:rsidR="00443A53" w:rsidRDefault="009C1861">
      <w:pPr>
        <w:pStyle w:val="ListParagraph"/>
        <w:numPr>
          <w:ilvl w:val="1"/>
          <w:numId w:val="1"/>
        </w:numPr>
        <w:tabs>
          <w:tab w:val="left" w:pos="2160"/>
          <w:tab w:val="left" w:pos="2161"/>
        </w:tabs>
        <w:spacing w:line="273" w:lineRule="auto"/>
        <w:ind w:right="1810"/>
        <w:rPr>
          <w:sz w:val="24"/>
        </w:rPr>
      </w:pPr>
      <w:r>
        <w:rPr>
          <w:sz w:val="24"/>
        </w:rPr>
        <w:t>Risk communication: to communicate effectively regarding the health risks, between stakeholders, professionals and the</w:t>
      </w:r>
      <w:r>
        <w:rPr>
          <w:spacing w:val="-12"/>
          <w:sz w:val="24"/>
        </w:rPr>
        <w:t xml:space="preserve"> </w:t>
      </w:r>
      <w:r>
        <w:rPr>
          <w:sz w:val="24"/>
        </w:rPr>
        <w:t>public.</w:t>
      </w:r>
    </w:p>
    <w:p w14:paraId="714F503E" w14:textId="77777777" w:rsidR="00443A53" w:rsidRDefault="009C1861">
      <w:pPr>
        <w:pStyle w:val="ListParagraph"/>
        <w:numPr>
          <w:ilvl w:val="1"/>
          <w:numId w:val="1"/>
        </w:numPr>
        <w:tabs>
          <w:tab w:val="left" w:pos="2160"/>
          <w:tab w:val="left" w:pos="2161"/>
        </w:tabs>
        <w:spacing w:line="276" w:lineRule="auto"/>
        <w:ind w:right="1756"/>
        <w:rPr>
          <w:sz w:val="24"/>
        </w:rPr>
      </w:pPr>
      <w:r>
        <w:rPr>
          <w:sz w:val="24"/>
        </w:rPr>
        <w:t xml:space="preserve">Review and evaluation: for each country to reflect on potential lessons from the exercise relating to their present state of preparedness for public health emergencies, involving mosquito borne viral </w:t>
      </w:r>
      <w:proofErr w:type="gramStart"/>
      <w:r>
        <w:rPr>
          <w:sz w:val="24"/>
        </w:rPr>
        <w:t>diseases in particular, and</w:t>
      </w:r>
      <w:proofErr w:type="gramEnd"/>
      <w:r>
        <w:rPr>
          <w:sz w:val="24"/>
        </w:rPr>
        <w:t xml:space="preserve"> for communicable disease events more</w:t>
      </w:r>
      <w:r>
        <w:rPr>
          <w:spacing w:val="-5"/>
          <w:sz w:val="24"/>
        </w:rPr>
        <w:t xml:space="preserve"> </w:t>
      </w:r>
      <w:r>
        <w:rPr>
          <w:sz w:val="24"/>
        </w:rPr>
        <w:t>generally.</w:t>
      </w:r>
    </w:p>
    <w:p w14:paraId="0AC65290" w14:textId="77777777" w:rsidR="00443A53" w:rsidRDefault="00443A53">
      <w:pPr>
        <w:pStyle w:val="BodyText"/>
        <w:rPr>
          <w:sz w:val="26"/>
        </w:rPr>
      </w:pPr>
    </w:p>
    <w:p w14:paraId="1B5DC493" w14:textId="77777777" w:rsidR="00443A53" w:rsidRDefault="009C1861">
      <w:pPr>
        <w:pStyle w:val="Heading1"/>
        <w:numPr>
          <w:ilvl w:val="0"/>
          <w:numId w:val="1"/>
        </w:numPr>
        <w:tabs>
          <w:tab w:val="left" w:pos="1710"/>
        </w:tabs>
        <w:spacing w:before="1"/>
        <w:ind w:left="1709" w:hanging="269"/>
      </w:pPr>
      <w:r>
        <w:t>Exercise</w:t>
      </w:r>
      <w:r>
        <w:rPr>
          <w:spacing w:val="-3"/>
        </w:rPr>
        <w:t xml:space="preserve"> </w:t>
      </w:r>
      <w:r>
        <w:t>delivery</w:t>
      </w:r>
    </w:p>
    <w:p w14:paraId="774AFF0F" w14:textId="77777777" w:rsidR="00443A53" w:rsidRDefault="00443A53">
      <w:pPr>
        <w:pStyle w:val="BodyText"/>
        <w:spacing w:before="3"/>
        <w:rPr>
          <w:b/>
          <w:sz w:val="22"/>
        </w:rPr>
      </w:pPr>
    </w:p>
    <w:p w14:paraId="1327E37B" w14:textId="77777777" w:rsidR="00443A53" w:rsidRDefault="009C1861">
      <w:pPr>
        <w:pStyle w:val="BodyText"/>
        <w:spacing w:before="1" w:line="276" w:lineRule="auto"/>
        <w:ind w:left="1440" w:right="1618"/>
      </w:pPr>
      <w:r>
        <w:t xml:space="preserve">A welcome and introductory presentation at the start of the morning session will outline the programme for the day and describe how to participate in the exercise. Delegates will receive paper injects asking them to consider the issues, risks and challenges raised by the scenario provided to them. The scenario will be fictitious but will be as realistic as possible </w:t>
      </w:r>
      <w:proofErr w:type="gramStart"/>
      <w:r>
        <w:t>in order to</w:t>
      </w:r>
      <w:proofErr w:type="gramEnd"/>
      <w:r>
        <w:t xml:space="preserve"> stimulate discussion and engagement.</w:t>
      </w:r>
    </w:p>
    <w:p w14:paraId="7C4E9110" w14:textId="77777777" w:rsidR="00443A53" w:rsidRDefault="00443A53">
      <w:pPr>
        <w:pStyle w:val="BodyText"/>
        <w:rPr>
          <w:sz w:val="26"/>
        </w:rPr>
      </w:pPr>
    </w:p>
    <w:p w14:paraId="03806707" w14:textId="77777777" w:rsidR="00443A53" w:rsidRDefault="009C1861">
      <w:pPr>
        <w:pStyle w:val="BodyText"/>
        <w:spacing w:line="276" w:lineRule="auto"/>
        <w:ind w:left="1440" w:right="1538"/>
      </w:pPr>
      <w:r>
        <w:t>During the exercise, delegates will work together by country responding to the scenario and associated questions. Each country should record their decisions and actions taken on the sheets provided, highlighting gaps or where further development is required. Each country should then discuss their findings with other countries on their table and identify 3 key points. A spokesperson on each table will feed back in plenary at various points during the day. The green sheets will be collected at the end of the exercise as this information will form part of the report.</w:t>
      </w:r>
    </w:p>
    <w:p w14:paraId="6FFD2B51" w14:textId="77777777" w:rsidR="00443A53" w:rsidRDefault="00443A53">
      <w:pPr>
        <w:pStyle w:val="BodyText"/>
        <w:rPr>
          <w:sz w:val="26"/>
        </w:rPr>
      </w:pPr>
    </w:p>
    <w:p w14:paraId="1732AC84" w14:textId="5FA31107" w:rsidR="00443A53" w:rsidRDefault="009C1861">
      <w:pPr>
        <w:pStyle w:val="BodyText"/>
        <w:spacing w:line="278" w:lineRule="auto"/>
        <w:ind w:left="1440" w:right="1539"/>
      </w:pPr>
      <w:r>
        <w:t>Facilitator will join each table to prompt the discussion, and make sure timings are kept</w:t>
      </w:r>
      <w:r>
        <w:rPr>
          <w:spacing w:val="63"/>
        </w:rPr>
        <w:t xml:space="preserve"> </w:t>
      </w:r>
      <w:r>
        <w:t>to.</w:t>
      </w:r>
    </w:p>
    <w:p w14:paraId="0E10FB41" w14:textId="77777777" w:rsidR="00443A53" w:rsidRDefault="00443A53">
      <w:pPr>
        <w:pStyle w:val="BodyText"/>
        <w:rPr>
          <w:sz w:val="26"/>
        </w:rPr>
      </w:pPr>
    </w:p>
    <w:p w14:paraId="36867952" w14:textId="388E2F2E" w:rsidR="00443A53" w:rsidRDefault="009C1861" w:rsidP="00687BF2">
      <w:pPr>
        <w:pStyle w:val="BodyText"/>
        <w:spacing w:line="276" w:lineRule="auto"/>
        <w:ind w:left="1440" w:right="1499"/>
        <w:rPr>
          <w:sz w:val="20"/>
        </w:rPr>
      </w:pPr>
      <w:r>
        <w:t xml:space="preserve">The afternoon of day 2 will provide the opportunity for reflective evaluation where each </w:t>
      </w:r>
      <w:r w:rsidR="001A104E">
        <w:t>country will be invited to feed</w:t>
      </w:r>
      <w:r>
        <w:t xml:space="preserve">back individually on national and international arrangements, key </w:t>
      </w:r>
      <w:proofErr w:type="gramStart"/>
      <w:r>
        <w:t>issues</w:t>
      </w:r>
      <w:proofErr w:type="gramEnd"/>
      <w:r>
        <w:t xml:space="preserve"> and areas where further development is required.</w:t>
      </w:r>
    </w:p>
    <w:p w14:paraId="5FE92211" w14:textId="77777777" w:rsidR="00443A53" w:rsidRDefault="00443A53">
      <w:pPr>
        <w:pStyle w:val="BodyText"/>
        <w:spacing w:before="1"/>
        <w:rPr>
          <w:sz w:val="17"/>
        </w:rPr>
      </w:pPr>
    </w:p>
    <w:p w14:paraId="0DCCD9DE" w14:textId="77777777" w:rsidR="00443A53" w:rsidRDefault="009C1861">
      <w:pPr>
        <w:pStyle w:val="BodyText"/>
        <w:spacing w:before="92" w:line="276" w:lineRule="auto"/>
        <w:ind w:left="1440" w:right="2015"/>
        <w:jc w:val="both"/>
      </w:pPr>
      <w:r>
        <w:t xml:space="preserve">Subject Matter and Policy Experts from International organisations (WHO Euro, WHO EMRO, ECDC and DG </w:t>
      </w:r>
      <w:r w:rsidR="00FB6484">
        <w:t>SANTE</w:t>
      </w:r>
      <w:r>
        <w:t>) will be available throughout the exercise to provide advice, guidance and support.</w:t>
      </w:r>
    </w:p>
    <w:p w14:paraId="06CEDE83" w14:textId="77777777" w:rsidR="00443A53" w:rsidRDefault="00443A53">
      <w:pPr>
        <w:pStyle w:val="BodyText"/>
        <w:rPr>
          <w:sz w:val="26"/>
        </w:rPr>
      </w:pPr>
    </w:p>
    <w:p w14:paraId="493AF84B" w14:textId="77777777" w:rsidR="00443A53" w:rsidRDefault="009C1861">
      <w:pPr>
        <w:pStyle w:val="BodyText"/>
        <w:spacing w:before="206" w:line="276" w:lineRule="auto"/>
        <w:ind w:left="1440" w:right="1791"/>
      </w:pPr>
      <w:r>
        <w:t>You are welcome to bring copies of any relevant plans with you to the exercise so that you may refer to these if required.</w:t>
      </w:r>
    </w:p>
    <w:p w14:paraId="765431A1" w14:textId="77777777" w:rsidR="00443A53" w:rsidRDefault="00443A53">
      <w:pPr>
        <w:pStyle w:val="BodyText"/>
        <w:rPr>
          <w:sz w:val="26"/>
        </w:rPr>
      </w:pPr>
    </w:p>
    <w:p w14:paraId="1974D36F" w14:textId="77777777" w:rsidR="00443A53" w:rsidRDefault="009C1861">
      <w:pPr>
        <w:pStyle w:val="Heading1"/>
        <w:spacing w:before="1"/>
      </w:pPr>
      <w:r>
        <w:t>Exercise participants</w:t>
      </w:r>
    </w:p>
    <w:p w14:paraId="31DFFDED" w14:textId="77777777" w:rsidR="00443A53" w:rsidRDefault="009C1861">
      <w:pPr>
        <w:pStyle w:val="BodyText"/>
        <w:spacing w:before="136" w:line="276" w:lineRule="auto"/>
        <w:ind w:left="1440" w:right="1527"/>
      </w:pPr>
      <w:r>
        <w:t>Senior preparedness and response experts from EU Member States, EU enlargement countries, and European Neighbourhood Policy partner countries will participate in the exercise. European and international agencies such as DG SANTE, WHO Euro, WHO EMRO and ECDC will also play their part in the exercise.</w:t>
      </w:r>
    </w:p>
    <w:p w14:paraId="791D3434" w14:textId="77777777" w:rsidR="00443A53" w:rsidRDefault="00443A53">
      <w:pPr>
        <w:pStyle w:val="BodyText"/>
        <w:spacing w:before="2"/>
        <w:rPr>
          <w:sz w:val="36"/>
        </w:rPr>
      </w:pPr>
    </w:p>
    <w:p w14:paraId="70689730" w14:textId="77777777" w:rsidR="00443A53" w:rsidRDefault="009C1861">
      <w:pPr>
        <w:pStyle w:val="Heading1"/>
      </w:pPr>
      <w:r>
        <w:t>Draft Exercise programme</w:t>
      </w:r>
    </w:p>
    <w:p w14:paraId="777D06A4" w14:textId="77777777" w:rsidR="00443A53" w:rsidRDefault="00443A53">
      <w:pPr>
        <w:pStyle w:val="BodyText"/>
        <w:spacing w:after="1"/>
        <w:rPr>
          <w:b/>
          <w:sz w:val="12"/>
        </w:rPr>
      </w:pPr>
    </w:p>
    <w:tbl>
      <w:tblPr>
        <w:tblW w:w="0" w:type="auto"/>
        <w:tblInd w:w="1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7799"/>
      </w:tblGrid>
      <w:tr w:rsidR="00443A53" w14:paraId="25B65655" w14:textId="77777777">
        <w:trPr>
          <w:trHeight w:val="580"/>
        </w:trPr>
        <w:tc>
          <w:tcPr>
            <w:tcW w:w="9928" w:type="dxa"/>
            <w:gridSpan w:val="2"/>
            <w:shd w:val="clear" w:color="auto" w:fill="C2D59B"/>
          </w:tcPr>
          <w:p w14:paraId="1274CBAD" w14:textId="77777777" w:rsidR="00443A53" w:rsidRDefault="009C1861">
            <w:pPr>
              <w:pStyle w:val="TableParagraph"/>
              <w:spacing w:before="166"/>
              <w:ind w:left="4240" w:right="4235"/>
              <w:jc w:val="center"/>
              <w:rPr>
                <w:b/>
                <w:sz w:val="24"/>
              </w:rPr>
            </w:pPr>
            <w:r>
              <w:rPr>
                <w:b/>
                <w:sz w:val="24"/>
              </w:rPr>
              <w:t>19 May 2016</w:t>
            </w:r>
          </w:p>
        </w:tc>
      </w:tr>
      <w:tr w:rsidR="00443A53" w14:paraId="76D957E3" w14:textId="77777777">
        <w:trPr>
          <w:trHeight w:val="340"/>
        </w:trPr>
        <w:tc>
          <w:tcPr>
            <w:tcW w:w="2129" w:type="dxa"/>
          </w:tcPr>
          <w:p w14:paraId="5F1AD457" w14:textId="77777777" w:rsidR="00443A53" w:rsidRDefault="009C1861">
            <w:pPr>
              <w:pStyle w:val="TableParagraph"/>
              <w:spacing w:line="275" w:lineRule="exact"/>
              <w:rPr>
                <w:b/>
                <w:sz w:val="24"/>
              </w:rPr>
            </w:pPr>
            <w:r>
              <w:rPr>
                <w:b/>
                <w:sz w:val="24"/>
              </w:rPr>
              <w:t>0830</w:t>
            </w:r>
          </w:p>
        </w:tc>
        <w:tc>
          <w:tcPr>
            <w:tcW w:w="7799" w:type="dxa"/>
          </w:tcPr>
          <w:p w14:paraId="2351092A" w14:textId="77777777" w:rsidR="00443A53" w:rsidRDefault="009C1861">
            <w:pPr>
              <w:pStyle w:val="TableParagraph"/>
              <w:spacing w:line="275" w:lineRule="exact"/>
              <w:rPr>
                <w:b/>
                <w:sz w:val="24"/>
              </w:rPr>
            </w:pPr>
            <w:r>
              <w:rPr>
                <w:b/>
                <w:sz w:val="24"/>
              </w:rPr>
              <w:t>Registration</w:t>
            </w:r>
          </w:p>
        </w:tc>
      </w:tr>
      <w:tr w:rsidR="00443A53" w14:paraId="6CBDF755" w14:textId="77777777">
        <w:trPr>
          <w:trHeight w:val="678"/>
        </w:trPr>
        <w:tc>
          <w:tcPr>
            <w:tcW w:w="2129" w:type="dxa"/>
          </w:tcPr>
          <w:p w14:paraId="0B0D922F" w14:textId="77777777" w:rsidR="00443A53" w:rsidRDefault="009C1861">
            <w:pPr>
              <w:pStyle w:val="TableParagraph"/>
              <w:rPr>
                <w:b/>
                <w:sz w:val="24"/>
              </w:rPr>
            </w:pPr>
            <w:r>
              <w:rPr>
                <w:b/>
                <w:sz w:val="24"/>
              </w:rPr>
              <w:t>0900</w:t>
            </w:r>
          </w:p>
        </w:tc>
        <w:tc>
          <w:tcPr>
            <w:tcW w:w="7799" w:type="dxa"/>
          </w:tcPr>
          <w:p w14:paraId="22ADCC26" w14:textId="77777777" w:rsidR="00443A53" w:rsidRDefault="009C1861">
            <w:pPr>
              <w:pStyle w:val="TableParagraph"/>
              <w:rPr>
                <w:b/>
                <w:sz w:val="24"/>
              </w:rPr>
            </w:pPr>
            <w:r>
              <w:rPr>
                <w:b/>
                <w:sz w:val="24"/>
              </w:rPr>
              <w:t>Opening presentation</w:t>
            </w:r>
          </w:p>
          <w:p w14:paraId="007D94B1" w14:textId="77777777" w:rsidR="00443A53" w:rsidRDefault="009C1861">
            <w:pPr>
              <w:pStyle w:val="TableParagraph"/>
              <w:spacing w:before="64" w:line="272" w:lineRule="exact"/>
              <w:rPr>
                <w:b/>
                <w:sz w:val="24"/>
              </w:rPr>
            </w:pPr>
            <w:r>
              <w:rPr>
                <w:b/>
                <w:sz w:val="24"/>
              </w:rPr>
              <w:t>Scene setting</w:t>
            </w:r>
          </w:p>
        </w:tc>
      </w:tr>
      <w:tr w:rsidR="00443A53" w14:paraId="49436322" w14:textId="77777777">
        <w:trPr>
          <w:trHeight w:val="340"/>
        </w:trPr>
        <w:tc>
          <w:tcPr>
            <w:tcW w:w="2129" w:type="dxa"/>
          </w:tcPr>
          <w:p w14:paraId="4EC65816" w14:textId="77777777" w:rsidR="00443A53" w:rsidRDefault="009C1861">
            <w:pPr>
              <w:pStyle w:val="TableParagraph"/>
              <w:spacing w:line="275" w:lineRule="exact"/>
              <w:rPr>
                <w:b/>
                <w:sz w:val="24"/>
              </w:rPr>
            </w:pPr>
            <w:r>
              <w:rPr>
                <w:b/>
                <w:sz w:val="24"/>
              </w:rPr>
              <w:t>0930</w:t>
            </w:r>
          </w:p>
        </w:tc>
        <w:tc>
          <w:tcPr>
            <w:tcW w:w="7799" w:type="dxa"/>
          </w:tcPr>
          <w:p w14:paraId="2A2E3210" w14:textId="77777777" w:rsidR="00443A53" w:rsidRDefault="009C1861">
            <w:pPr>
              <w:pStyle w:val="TableParagraph"/>
              <w:spacing w:line="275" w:lineRule="exact"/>
              <w:rPr>
                <w:b/>
                <w:sz w:val="24"/>
              </w:rPr>
            </w:pPr>
            <w:r>
              <w:rPr>
                <w:b/>
                <w:sz w:val="24"/>
              </w:rPr>
              <w:t>STARTEX</w:t>
            </w:r>
          </w:p>
        </w:tc>
      </w:tr>
      <w:tr w:rsidR="00443A53" w14:paraId="38BE8239" w14:textId="77777777">
        <w:trPr>
          <w:trHeight w:val="340"/>
        </w:trPr>
        <w:tc>
          <w:tcPr>
            <w:tcW w:w="2129" w:type="dxa"/>
          </w:tcPr>
          <w:p w14:paraId="393EE898" w14:textId="77777777" w:rsidR="00443A53" w:rsidRDefault="009C1861">
            <w:pPr>
              <w:pStyle w:val="TableParagraph"/>
              <w:spacing w:line="275" w:lineRule="exact"/>
              <w:rPr>
                <w:b/>
                <w:sz w:val="24"/>
              </w:rPr>
            </w:pPr>
            <w:r>
              <w:rPr>
                <w:b/>
                <w:sz w:val="24"/>
              </w:rPr>
              <w:t>1045</w:t>
            </w:r>
          </w:p>
        </w:tc>
        <w:tc>
          <w:tcPr>
            <w:tcW w:w="7799" w:type="dxa"/>
          </w:tcPr>
          <w:p w14:paraId="3D6DCF82" w14:textId="77777777" w:rsidR="00443A53" w:rsidRDefault="009C1861">
            <w:pPr>
              <w:pStyle w:val="TableParagraph"/>
              <w:spacing w:line="275" w:lineRule="exact"/>
              <w:rPr>
                <w:b/>
                <w:sz w:val="24"/>
              </w:rPr>
            </w:pPr>
            <w:r>
              <w:rPr>
                <w:b/>
                <w:sz w:val="24"/>
              </w:rPr>
              <w:t>Coffee break</w:t>
            </w:r>
          </w:p>
        </w:tc>
      </w:tr>
      <w:tr w:rsidR="00443A53" w14:paraId="3CF5BC31" w14:textId="77777777">
        <w:trPr>
          <w:trHeight w:val="340"/>
        </w:trPr>
        <w:tc>
          <w:tcPr>
            <w:tcW w:w="2129" w:type="dxa"/>
          </w:tcPr>
          <w:p w14:paraId="7F968FEE" w14:textId="77777777" w:rsidR="00443A53" w:rsidRDefault="009C1861">
            <w:pPr>
              <w:pStyle w:val="TableParagraph"/>
              <w:spacing w:line="275" w:lineRule="exact"/>
              <w:rPr>
                <w:b/>
                <w:sz w:val="24"/>
              </w:rPr>
            </w:pPr>
            <w:r>
              <w:rPr>
                <w:b/>
                <w:sz w:val="24"/>
              </w:rPr>
              <w:t>1105</w:t>
            </w:r>
          </w:p>
        </w:tc>
        <w:tc>
          <w:tcPr>
            <w:tcW w:w="7799" w:type="dxa"/>
          </w:tcPr>
          <w:p w14:paraId="4E1CABC0" w14:textId="77777777" w:rsidR="00443A53" w:rsidRDefault="009C1861">
            <w:pPr>
              <w:pStyle w:val="TableParagraph"/>
              <w:spacing w:line="275" w:lineRule="exact"/>
              <w:rPr>
                <w:b/>
                <w:sz w:val="24"/>
              </w:rPr>
            </w:pPr>
            <w:r>
              <w:rPr>
                <w:b/>
                <w:sz w:val="24"/>
              </w:rPr>
              <w:t>Scenario development</w:t>
            </w:r>
          </w:p>
        </w:tc>
      </w:tr>
      <w:tr w:rsidR="00443A53" w14:paraId="44CAE610" w14:textId="77777777">
        <w:trPr>
          <w:trHeight w:val="340"/>
        </w:trPr>
        <w:tc>
          <w:tcPr>
            <w:tcW w:w="2129" w:type="dxa"/>
          </w:tcPr>
          <w:p w14:paraId="3A417CAB" w14:textId="77777777" w:rsidR="00443A53" w:rsidRDefault="009C1861">
            <w:pPr>
              <w:pStyle w:val="TableParagraph"/>
              <w:spacing w:line="275" w:lineRule="exact"/>
              <w:rPr>
                <w:b/>
                <w:sz w:val="24"/>
              </w:rPr>
            </w:pPr>
            <w:r>
              <w:rPr>
                <w:b/>
                <w:sz w:val="24"/>
              </w:rPr>
              <w:t>1230</w:t>
            </w:r>
          </w:p>
        </w:tc>
        <w:tc>
          <w:tcPr>
            <w:tcW w:w="7799" w:type="dxa"/>
          </w:tcPr>
          <w:p w14:paraId="7D586FEE" w14:textId="77777777" w:rsidR="00443A53" w:rsidRDefault="009C1861">
            <w:pPr>
              <w:pStyle w:val="TableParagraph"/>
              <w:spacing w:line="275" w:lineRule="exact"/>
              <w:rPr>
                <w:b/>
                <w:sz w:val="24"/>
              </w:rPr>
            </w:pPr>
            <w:r>
              <w:rPr>
                <w:b/>
                <w:sz w:val="24"/>
              </w:rPr>
              <w:t>Lunch</w:t>
            </w:r>
          </w:p>
        </w:tc>
      </w:tr>
      <w:tr w:rsidR="00443A53" w14:paraId="4873CB41" w14:textId="77777777">
        <w:trPr>
          <w:trHeight w:val="731"/>
        </w:trPr>
        <w:tc>
          <w:tcPr>
            <w:tcW w:w="2129" w:type="dxa"/>
          </w:tcPr>
          <w:p w14:paraId="36E8BD2B" w14:textId="77777777" w:rsidR="00443A53" w:rsidRDefault="009C1861">
            <w:pPr>
              <w:pStyle w:val="TableParagraph"/>
              <w:rPr>
                <w:b/>
                <w:sz w:val="24"/>
              </w:rPr>
            </w:pPr>
            <w:r>
              <w:rPr>
                <w:b/>
                <w:sz w:val="24"/>
              </w:rPr>
              <w:t>1330</w:t>
            </w:r>
          </w:p>
        </w:tc>
        <w:tc>
          <w:tcPr>
            <w:tcW w:w="7799" w:type="dxa"/>
          </w:tcPr>
          <w:p w14:paraId="19ADEDCB" w14:textId="77777777" w:rsidR="00443A53" w:rsidRDefault="009C1861">
            <w:pPr>
              <w:pStyle w:val="TableParagraph"/>
              <w:spacing w:before="55"/>
              <w:rPr>
                <w:b/>
                <w:sz w:val="24"/>
              </w:rPr>
            </w:pPr>
            <w:r>
              <w:rPr>
                <w:b/>
                <w:sz w:val="24"/>
              </w:rPr>
              <w:t>Further scenario development</w:t>
            </w:r>
          </w:p>
          <w:p w14:paraId="4088500D" w14:textId="77777777" w:rsidR="00443A53" w:rsidRDefault="009C1861">
            <w:pPr>
              <w:pStyle w:val="TableParagraph"/>
              <w:spacing w:before="60"/>
              <w:rPr>
                <w:b/>
                <w:sz w:val="24"/>
              </w:rPr>
            </w:pPr>
            <w:r>
              <w:rPr>
                <w:b/>
                <w:sz w:val="24"/>
              </w:rPr>
              <w:t>Group feedback at various points during the day</w:t>
            </w:r>
          </w:p>
        </w:tc>
      </w:tr>
      <w:tr w:rsidR="00443A53" w14:paraId="5594AB93" w14:textId="77777777">
        <w:trPr>
          <w:trHeight w:val="396"/>
        </w:trPr>
        <w:tc>
          <w:tcPr>
            <w:tcW w:w="2129" w:type="dxa"/>
          </w:tcPr>
          <w:p w14:paraId="1D494FDC" w14:textId="77777777" w:rsidR="00443A53" w:rsidRDefault="009C1861">
            <w:pPr>
              <w:pStyle w:val="TableParagraph"/>
              <w:rPr>
                <w:b/>
                <w:sz w:val="24"/>
              </w:rPr>
            </w:pPr>
            <w:r>
              <w:rPr>
                <w:b/>
                <w:sz w:val="24"/>
              </w:rPr>
              <w:t>1500</w:t>
            </w:r>
          </w:p>
        </w:tc>
        <w:tc>
          <w:tcPr>
            <w:tcW w:w="7799" w:type="dxa"/>
          </w:tcPr>
          <w:p w14:paraId="20897D32" w14:textId="77777777" w:rsidR="00443A53" w:rsidRDefault="009C1861">
            <w:pPr>
              <w:pStyle w:val="TableParagraph"/>
              <w:spacing w:before="56"/>
              <w:rPr>
                <w:b/>
                <w:sz w:val="24"/>
              </w:rPr>
            </w:pPr>
            <w:r>
              <w:rPr>
                <w:b/>
                <w:sz w:val="24"/>
              </w:rPr>
              <w:t>Coffee break</w:t>
            </w:r>
          </w:p>
        </w:tc>
      </w:tr>
      <w:tr w:rsidR="00443A53" w14:paraId="295CABFC" w14:textId="77777777">
        <w:trPr>
          <w:trHeight w:val="731"/>
        </w:trPr>
        <w:tc>
          <w:tcPr>
            <w:tcW w:w="2129" w:type="dxa"/>
          </w:tcPr>
          <w:p w14:paraId="4386FA06" w14:textId="77777777" w:rsidR="00443A53" w:rsidRDefault="009C1861">
            <w:pPr>
              <w:pStyle w:val="TableParagraph"/>
              <w:rPr>
                <w:b/>
                <w:sz w:val="24"/>
              </w:rPr>
            </w:pPr>
            <w:r>
              <w:rPr>
                <w:b/>
                <w:sz w:val="24"/>
              </w:rPr>
              <w:t>1530</w:t>
            </w:r>
          </w:p>
        </w:tc>
        <w:tc>
          <w:tcPr>
            <w:tcW w:w="7799" w:type="dxa"/>
          </w:tcPr>
          <w:p w14:paraId="2C3286EE" w14:textId="77777777" w:rsidR="00443A53" w:rsidRDefault="009C1861">
            <w:pPr>
              <w:pStyle w:val="TableParagraph"/>
              <w:spacing w:before="55"/>
              <w:rPr>
                <w:b/>
                <w:sz w:val="24"/>
              </w:rPr>
            </w:pPr>
            <w:r>
              <w:rPr>
                <w:b/>
                <w:sz w:val="24"/>
              </w:rPr>
              <w:t>Further scenario development</w:t>
            </w:r>
          </w:p>
          <w:p w14:paraId="296F2EA1" w14:textId="77777777" w:rsidR="00443A53" w:rsidRDefault="009C1861">
            <w:pPr>
              <w:pStyle w:val="TableParagraph"/>
              <w:spacing w:before="60"/>
              <w:rPr>
                <w:b/>
                <w:sz w:val="24"/>
              </w:rPr>
            </w:pPr>
            <w:r>
              <w:rPr>
                <w:b/>
                <w:sz w:val="24"/>
              </w:rPr>
              <w:t>Group feedback at various points during the day</w:t>
            </w:r>
          </w:p>
        </w:tc>
      </w:tr>
      <w:tr w:rsidR="00443A53" w14:paraId="14B0217C" w14:textId="77777777">
        <w:trPr>
          <w:trHeight w:val="340"/>
        </w:trPr>
        <w:tc>
          <w:tcPr>
            <w:tcW w:w="2129" w:type="dxa"/>
          </w:tcPr>
          <w:p w14:paraId="633E9FB0" w14:textId="77777777" w:rsidR="00443A53" w:rsidRDefault="009C1861">
            <w:pPr>
              <w:pStyle w:val="TableParagraph"/>
              <w:spacing w:line="275" w:lineRule="exact"/>
              <w:rPr>
                <w:b/>
                <w:sz w:val="24"/>
              </w:rPr>
            </w:pPr>
            <w:r>
              <w:rPr>
                <w:b/>
                <w:sz w:val="24"/>
              </w:rPr>
              <w:t>1700</w:t>
            </w:r>
          </w:p>
        </w:tc>
        <w:tc>
          <w:tcPr>
            <w:tcW w:w="7799" w:type="dxa"/>
          </w:tcPr>
          <w:p w14:paraId="7481052A" w14:textId="77777777" w:rsidR="00443A53" w:rsidRDefault="009C1861">
            <w:pPr>
              <w:pStyle w:val="TableParagraph"/>
              <w:spacing w:line="275" w:lineRule="exact"/>
              <w:rPr>
                <w:b/>
                <w:sz w:val="24"/>
              </w:rPr>
            </w:pPr>
            <w:r>
              <w:rPr>
                <w:b/>
                <w:sz w:val="24"/>
              </w:rPr>
              <w:t>End of day one</w:t>
            </w:r>
          </w:p>
        </w:tc>
      </w:tr>
      <w:tr w:rsidR="00443A53" w14:paraId="7F9B79EF" w14:textId="77777777">
        <w:trPr>
          <w:trHeight w:val="563"/>
        </w:trPr>
        <w:tc>
          <w:tcPr>
            <w:tcW w:w="9928" w:type="dxa"/>
            <w:gridSpan w:val="2"/>
            <w:shd w:val="clear" w:color="auto" w:fill="C2D59B"/>
          </w:tcPr>
          <w:p w14:paraId="44014406" w14:textId="77777777" w:rsidR="00443A53" w:rsidRDefault="009C1861">
            <w:pPr>
              <w:pStyle w:val="TableParagraph"/>
              <w:ind w:left="4240" w:right="4235"/>
              <w:jc w:val="center"/>
              <w:rPr>
                <w:b/>
                <w:sz w:val="24"/>
              </w:rPr>
            </w:pPr>
            <w:r>
              <w:rPr>
                <w:b/>
                <w:sz w:val="24"/>
              </w:rPr>
              <w:t>20 May 2016</w:t>
            </w:r>
          </w:p>
        </w:tc>
      </w:tr>
      <w:tr w:rsidR="00443A53" w14:paraId="27890797" w14:textId="77777777">
        <w:trPr>
          <w:trHeight w:val="338"/>
        </w:trPr>
        <w:tc>
          <w:tcPr>
            <w:tcW w:w="2129" w:type="dxa"/>
          </w:tcPr>
          <w:p w14:paraId="0AA1CB46" w14:textId="77777777" w:rsidR="00443A53" w:rsidRDefault="009C1861">
            <w:pPr>
              <w:pStyle w:val="TableParagraph"/>
              <w:spacing w:line="272" w:lineRule="exact"/>
              <w:rPr>
                <w:b/>
                <w:sz w:val="24"/>
              </w:rPr>
            </w:pPr>
            <w:r>
              <w:rPr>
                <w:b/>
                <w:sz w:val="24"/>
              </w:rPr>
              <w:t>0830</w:t>
            </w:r>
          </w:p>
        </w:tc>
        <w:tc>
          <w:tcPr>
            <w:tcW w:w="7799" w:type="dxa"/>
          </w:tcPr>
          <w:p w14:paraId="7C00033C" w14:textId="77777777" w:rsidR="00443A53" w:rsidRDefault="009C1861">
            <w:pPr>
              <w:pStyle w:val="TableParagraph"/>
              <w:spacing w:line="272" w:lineRule="exact"/>
              <w:rPr>
                <w:b/>
                <w:sz w:val="24"/>
              </w:rPr>
            </w:pPr>
            <w:r>
              <w:rPr>
                <w:b/>
                <w:sz w:val="24"/>
              </w:rPr>
              <w:t>Registration</w:t>
            </w:r>
          </w:p>
        </w:tc>
      </w:tr>
      <w:tr w:rsidR="00443A53" w14:paraId="34E6904E" w14:textId="77777777">
        <w:trPr>
          <w:trHeight w:val="340"/>
        </w:trPr>
        <w:tc>
          <w:tcPr>
            <w:tcW w:w="2129" w:type="dxa"/>
          </w:tcPr>
          <w:p w14:paraId="4EF4E9D2" w14:textId="77777777" w:rsidR="00443A53" w:rsidRDefault="009C1861">
            <w:pPr>
              <w:pStyle w:val="TableParagraph"/>
              <w:spacing w:before="48" w:line="272" w:lineRule="exact"/>
              <w:rPr>
                <w:b/>
                <w:sz w:val="24"/>
              </w:rPr>
            </w:pPr>
            <w:r>
              <w:rPr>
                <w:b/>
                <w:sz w:val="24"/>
              </w:rPr>
              <w:t>0900</w:t>
            </w:r>
          </w:p>
        </w:tc>
        <w:tc>
          <w:tcPr>
            <w:tcW w:w="7799" w:type="dxa"/>
          </w:tcPr>
          <w:p w14:paraId="24BAFF72" w14:textId="77777777" w:rsidR="00443A53" w:rsidRDefault="009C1861">
            <w:pPr>
              <w:pStyle w:val="TableParagraph"/>
              <w:spacing w:before="48" w:line="272" w:lineRule="exact"/>
              <w:rPr>
                <w:b/>
                <w:sz w:val="24"/>
              </w:rPr>
            </w:pPr>
            <w:r>
              <w:rPr>
                <w:b/>
                <w:sz w:val="24"/>
              </w:rPr>
              <w:t>Welcome delegates back</w:t>
            </w:r>
          </w:p>
        </w:tc>
      </w:tr>
      <w:tr w:rsidR="00443A53" w14:paraId="42C3B999" w14:textId="77777777">
        <w:trPr>
          <w:trHeight w:val="340"/>
        </w:trPr>
        <w:tc>
          <w:tcPr>
            <w:tcW w:w="2129" w:type="dxa"/>
          </w:tcPr>
          <w:p w14:paraId="0C3ADCA7" w14:textId="77777777" w:rsidR="00443A53" w:rsidRDefault="009C1861">
            <w:pPr>
              <w:pStyle w:val="TableParagraph"/>
              <w:spacing w:line="275" w:lineRule="exact"/>
              <w:rPr>
                <w:b/>
                <w:sz w:val="24"/>
              </w:rPr>
            </w:pPr>
            <w:r>
              <w:rPr>
                <w:b/>
                <w:sz w:val="24"/>
              </w:rPr>
              <w:t>0910</w:t>
            </w:r>
          </w:p>
        </w:tc>
        <w:tc>
          <w:tcPr>
            <w:tcW w:w="7799" w:type="dxa"/>
          </w:tcPr>
          <w:p w14:paraId="492F9DC0" w14:textId="77777777" w:rsidR="00443A53" w:rsidRDefault="009C1861">
            <w:pPr>
              <w:pStyle w:val="TableParagraph"/>
              <w:spacing w:line="275" w:lineRule="exact"/>
              <w:rPr>
                <w:b/>
                <w:sz w:val="24"/>
              </w:rPr>
            </w:pPr>
            <w:r>
              <w:rPr>
                <w:b/>
                <w:sz w:val="24"/>
              </w:rPr>
              <w:t>Review of day 1 and scene setting for day 2</w:t>
            </w:r>
          </w:p>
        </w:tc>
      </w:tr>
      <w:tr w:rsidR="00443A53" w14:paraId="74D59C93" w14:textId="77777777">
        <w:trPr>
          <w:trHeight w:val="340"/>
        </w:trPr>
        <w:tc>
          <w:tcPr>
            <w:tcW w:w="2129" w:type="dxa"/>
          </w:tcPr>
          <w:p w14:paraId="69B3FD2B" w14:textId="77777777" w:rsidR="00443A53" w:rsidRDefault="009C1861">
            <w:pPr>
              <w:pStyle w:val="TableParagraph"/>
              <w:spacing w:line="275" w:lineRule="exact"/>
              <w:rPr>
                <w:b/>
                <w:sz w:val="24"/>
              </w:rPr>
            </w:pPr>
            <w:r>
              <w:rPr>
                <w:b/>
                <w:sz w:val="24"/>
              </w:rPr>
              <w:t>0930</w:t>
            </w:r>
          </w:p>
        </w:tc>
        <w:tc>
          <w:tcPr>
            <w:tcW w:w="7799" w:type="dxa"/>
          </w:tcPr>
          <w:p w14:paraId="39044B9D" w14:textId="77777777" w:rsidR="00443A53" w:rsidRDefault="009C1861">
            <w:pPr>
              <w:pStyle w:val="TableParagraph"/>
              <w:spacing w:line="275" w:lineRule="exact"/>
              <w:rPr>
                <w:b/>
                <w:sz w:val="24"/>
              </w:rPr>
            </w:pPr>
            <w:r>
              <w:rPr>
                <w:b/>
                <w:sz w:val="24"/>
              </w:rPr>
              <w:t>Scenario development and feedback</w:t>
            </w:r>
          </w:p>
        </w:tc>
      </w:tr>
      <w:tr w:rsidR="00443A53" w14:paraId="37C851CC" w14:textId="77777777">
        <w:trPr>
          <w:trHeight w:val="340"/>
        </w:trPr>
        <w:tc>
          <w:tcPr>
            <w:tcW w:w="2129" w:type="dxa"/>
          </w:tcPr>
          <w:p w14:paraId="41E4ABBD" w14:textId="77777777" w:rsidR="00443A53" w:rsidRDefault="009C1861">
            <w:pPr>
              <w:pStyle w:val="TableParagraph"/>
              <w:spacing w:line="275" w:lineRule="exact"/>
              <w:rPr>
                <w:b/>
                <w:sz w:val="24"/>
              </w:rPr>
            </w:pPr>
            <w:r>
              <w:rPr>
                <w:b/>
                <w:sz w:val="24"/>
              </w:rPr>
              <w:t>1045</w:t>
            </w:r>
          </w:p>
        </w:tc>
        <w:tc>
          <w:tcPr>
            <w:tcW w:w="7799" w:type="dxa"/>
          </w:tcPr>
          <w:p w14:paraId="7C9D40B5" w14:textId="77777777" w:rsidR="00443A53" w:rsidRDefault="009C1861">
            <w:pPr>
              <w:pStyle w:val="TableParagraph"/>
              <w:spacing w:line="275" w:lineRule="exact"/>
              <w:rPr>
                <w:b/>
                <w:sz w:val="24"/>
              </w:rPr>
            </w:pPr>
            <w:r>
              <w:rPr>
                <w:b/>
                <w:sz w:val="24"/>
              </w:rPr>
              <w:t>Coffee break</w:t>
            </w:r>
          </w:p>
        </w:tc>
      </w:tr>
      <w:tr w:rsidR="00443A53" w14:paraId="5C7FD862" w14:textId="77777777">
        <w:trPr>
          <w:trHeight w:val="678"/>
        </w:trPr>
        <w:tc>
          <w:tcPr>
            <w:tcW w:w="2129" w:type="dxa"/>
          </w:tcPr>
          <w:p w14:paraId="1AF6C445" w14:textId="77777777" w:rsidR="00443A53" w:rsidRDefault="009C1861">
            <w:pPr>
              <w:pStyle w:val="TableParagraph"/>
              <w:rPr>
                <w:b/>
                <w:sz w:val="24"/>
              </w:rPr>
            </w:pPr>
            <w:r>
              <w:rPr>
                <w:b/>
                <w:sz w:val="24"/>
              </w:rPr>
              <w:t>1105</w:t>
            </w:r>
          </w:p>
        </w:tc>
        <w:tc>
          <w:tcPr>
            <w:tcW w:w="7799" w:type="dxa"/>
          </w:tcPr>
          <w:p w14:paraId="07D457A6" w14:textId="77777777" w:rsidR="00443A53" w:rsidRDefault="009C1861">
            <w:pPr>
              <w:pStyle w:val="TableParagraph"/>
              <w:rPr>
                <w:b/>
                <w:sz w:val="24"/>
              </w:rPr>
            </w:pPr>
            <w:r>
              <w:rPr>
                <w:b/>
                <w:sz w:val="24"/>
              </w:rPr>
              <w:t>Scenario development</w:t>
            </w:r>
          </w:p>
          <w:p w14:paraId="783320D7" w14:textId="77777777" w:rsidR="00443A53" w:rsidRDefault="009C1861">
            <w:pPr>
              <w:pStyle w:val="TableParagraph"/>
              <w:spacing w:before="64" w:line="272" w:lineRule="exact"/>
              <w:rPr>
                <w:b/>
                <w:sz w:val="24"/>
              </w:rPr>
            </w:pPr>
            <w:r>
              <w:rPr>
                <w:b/>
                <w:sz w:val="24"/>
              </w:rPr>
              <w:t>Group feedback at various points during the day</w:t>
            </w:r>
          </w:p>
        </w:tc>
      </w:tr>
    </w:tbl>
    <w:p w14:paraId="2F9D003E" w14:textId="77777777" w:rsidR="00443A53" w:rsidRDefault="00443A53">
      <w:pPr>
        <w:spacing w:line="272" w:lineRule="exact"/>
        <w:rPr>
          <w:sz w:val="24"/>
        </w:rPr>
        <w:sectPr w:rsidR="00443A53">
          <w:footerReference w:type="default" r:id="rId12"/>
          <w:pgSz w:w="11910" w:h="16850"/>
          <w:pgMar w:top="1340" w:right="0" w:bottom="1200" w:left="0" w:header="0" w:footer="1016" w:gutter="0"/>
          <w:cols w:space="720"/>
        </w:sectPr>
      </w:pPr>
    </w:p>
    <w:p w14:paraId="351F1FCB" w14:textId="77777777" w:rsidR="00443A53" w:rsidRDefault="00443A53">
      <w:pPr>
        <w:pStyle w:val="BodyText"/>
        <w:spacing w:before="3"/>
        <w:rPr>
          <w:b/>
          <w:sz w:val="7"/>
        </w:rPr>
      </w:pPr>
    </w:p>
    <w:tbl>
      <w:tblPr>
        <w:tblW w:w="0" w:type="auto"/>
        <w:tblInd w:w="1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7799"/>
      </w:tblGrid>
      <w:tr w:rsidR="00443A53" w14:paraId="3FA97D0C" w14:textId="77777777">
        <w:trPr>
          <w:trHeight w:val="340"/>
        </w:trPr>
        <w:tc>
          <w:tcPr>
            <w:tcW w:w="2129" w:type="dxa"/>
          </w:tcPr>
          <w:p w14:paraId="06137D5A" w14:textId="77777777" w:rsidR="00443A53" w:rsidRDefault="009C1861">
            <w:pPr>
              <w:pStyle w:val="TableParagraph"/>
              <w:spacing w:line="275" w:lineRule="exact"/>
              <w:rPr>
                <w:b/>
                <w:sz w:val="24"/>
              </w:rPr>
            </w:pPr>
            <w:r>
              <w:rPr>
                <w:b/>
                <w:sz w:val="24"/>
              </w:rPr>
              <w:t>1230</w:t>
            </w:r>
          </w:p>
        </w:tc>
        <w:tc>
          <w:tcPr>
            <w:tcW w:w="7799" w:type="dxa"/>
          </w:tcPr>
          <w:p w14:paraId="34BC8790" w14:textId="77777777" w:rsidR="00443A53" w:rsidRDefault="009C1861">
            <w:pPr>
              <w:pStyle w:val="TableParagraph"/>
              <w:spacing w:line="275" w:lineRule="exact"/>
              <w:rPr>
                <w:b/>
                <w:sz w:val="24"/>
              </w:rPr>
            </w:pPr>
            <w:r>
              <w:rPr>
                <w:b/>
                <w:sz w:val="24"/>
              </w:rPr>
              <w:t>Lunch</w:t>
            </w:r>
          </w:p>
        </w:tc>
      </w:tr>
      <w:tr w:rsidR="00443A53" w14:paraId="3681593F" w14:textId="77777777">
        <w:trPr>
          <w:trHeight w:val="1348"/>
        </w:trPr>
        <w:tc>
          <w:tcPr>
            <w:tcW w:w="2129" w:type="dxa"/>
          </w:tcPr>
          <w:p w14:paraId="642F181D" w14:textId="77777777" w:rsidR="00443A53" w:rsidRDefault="009C1861">
            <w:pPr>
              <w:pStyle w:val="TableParagraph"/>
              <w:rPr>
                <w:b/>
                <w:sz w:val="24"/>
              </w:rPr>
            </w:pPr>
            <w:r>
              <w:rPr>
                <w:b/>
                <w:sz w:val="24"/>
              </w:rPr>
              <w:t>1330</w:t>
            </w:r>
          </w:p>
        </w:tc>
        <w:tc>
          <w:tcPr>
            <w:tcW w:w="7799" w:type="dxa"/>
          </w:tcPr>
          <w:p w14:paraId="7DBCF9CE" w14:textId="77777777" w:rsidR="00443A53" w:rsidRDefault="009C1861">
            <w:pPr>
              <w:pStyle w:val="TableParagraph"/>
              <w:spacing w:before="55"/>
              <w:rPr>
                <w:b/>
                <w:sz w:val="24"/>
              </w:rPr>
            </w:pPr>
            <w:r>
              <w:rPr>
                <w:b/>
                <w:sz w:val="24"/>
              </w:rPr>
              <w:t>Reflective evaluation</w:t>
            </w:r>
          </w:p>
          <w:p w14:paraId="55C85BE8" w14:textId="77777777" w:rsidR="00443A53" w:rsidRDefault="009C1861">
            <w:pPr>
              <w:pStyle w:val="TableParagraph"/>
              <w:spacing w:before="58"/>
              <w:rPr>
                <w:i/>
                <w:sz w:val="24"/>
              </w:rPr>
            </w:pPr>
            <w:r>
              <w:rPr>
                <w:i/>
                <w:sz w:val="24"/>
              </w:rPr>
              <w:t>Consider key issues on a country by country basis (observations/comments/recommendations for improvement)</w:t>
            </w:r>
          </w:p>
          <w:p w14:paraId="027AA7BB" w14:textId="77777777" w:rsidR="00443A53" w:rsidRDefault="009C1861">
            <w:pPr>
              <w:pStyle w:val="TableParagraph"/>
              <w:spacing w:before="113" w:line="275" w:lineRule="exact"/>
              <w:rPr>
                <w:i/>
                <w:sz w:val="24"/>
              </w:rPr>
            </w:pPr>
            <w:r>
              <w:rPr>
                <w:i/>
                <w:sz w:val="24"/>
              </w:rPr>
              <w:t>Player feedback forms</w:t>
            </w:r>
          </w:p>
        </w:tc>
      </w:tr>
      <w:tr w:rsidR="00443A53" w14:paraId="43B903BC" w14:textId="77777777">
        <w:trPr>
          <w:trHeight w:val="395"/>
        </w:trPr>
        <w:tc>
          <w:tcPr>
            <w:tcW w:w="2129" w:type="dxa"/>
          </w:tcPr>
          <w:p w14:paraId="1B499517" w14:textId="77777777" w:rsidR="00443A53" w:rsidRDefault="009C1861">
            <w:pPr>
              <w:pStyle w:val="TableParagraph"/>
              <w:rPr>
                <w:b/>
                <w:sz w:val="24"/>
              </w:rPr>
            </w:pPr>
            <w:r>
              <w:rPr>
                <w:b/>
                <w:sz w:val="24"/>
              </w:rPr>
              <w:t>1500</w:t>
            </w:r>
          </w:p>
        </w:tc>
        <w:tc>
          <w:tcPr>
            <w:tcW w:w="7799" w:type="dxa"/>
          </w:tcPr>
          <w:p w14:paraId="70E95D9B" w14:textId="77777777" w:rsidR="00443A53" w:rsidRDefault="009C1861">
            <w:pPr>
              <w:pStyle w:val="TableParagraph"/>
              <w:spacing w:before="55"/>
              <w:rPr>
                <w:b/>
                <w:sz w:val="24"/>
              </w:rPr>
            </w:pPr>
            <w:r>
              <w:rPr>
                <w:b/>
                <w:sz w:val="24"/>
              </w:rPr>
              <w:t>Coffee break</w:t>
            </w:r>
          </w:p>
        </w:tc>
      </w:tr>
      <w:tr w:rsidR="00443A53" w14:paraId="22F3698D" w14:textId="77777777">
        <w:trPr>
          <w:trHeight w:val="395"/>
        </w:trPr>
        <w:tc>
          <w:tcPr>
            <w:tcW w:w="2129" w:type="dxa"/>
          </w:tcPr>
          <w:p w14:paraId="2BD12A06" w14:textId="77777777" w:rsidR="00443A53" w:rsidRDefault="009C1861">
            <w:pPr>
              <w:pStyle w:val="TableParagraph"/>
              <w:rPr>
                <w:b/>
                <w:sz w:val="24"/>
              </w:rPr>
            </w:pPr>
            <w:r>
              <w:rPr>
                <w:b/>
                <w:sz w:val="24"/>
              </w:rPr>
              <w:t>1520</w:t>
            </w:r>
          </w:p>
        </w:tc>
        <w:tc>
          <w:tcPr>
            <w:tcW w:w="7799" w:type="dxa"/>
          </w:tcPr>
          <w:p w14:paraId="12460325" w14:textId="77777777" w:rsidR="00443A53" w:rsidRDefault="009C1861">
            <w:pPr>
              <w:pStyle w:val="TableParagraph"/>
              <w:spacing w:before="55"/>
              <w:ind w:left="175"/>
              <w:rPr>
                <w:b/>
                <w:sz w:val="24"/>
              </w:rPr>
            </w:pPr>
            <w:r>
              <w:rPr>
                <w:b/>
                <w:sz w:val="24"/>
              </w:rPr>
              <w:t>Reflective evaluation (</w:t>
            </w:r>
            <w:proofErr w:type="spellStart"/>
            <w:r>
              <w:rPr>
                <w:b/>
                <w:sz w:val="24"/>
              </w:rPr>
              <w:t>cont</w:t>
            </w:r>
            <w:proofErr w:type="spellEnd"/>
            <w:r>
              <w:rPr>
                <w:b/>
                <w:sz w:val="24"/>
              </w:rPr>
              <w:t>)</w:t>
            </w:r>
          </w:p>
        </w:tc>
      </w:tr>
      <w:tr w:rsidR="00443A53" w14:paraId="54D89664" w14:textId="77777777">
        <w:trPr>
          <w:trHeight w:val="395"/>
        </w:trPr>
        <w:tc>
          <w:tcPr>
            <w:tcW w:w="2129" w:type="dxa"/>
          </w:tcPr>
          <w:p w14:paraId="6F250828" w14:textId="77777777" w:rsidR="00443A53" w:rsidRDefault="009C1861">
            <w:pPr>
              <w:pStyle w:val="TableParagraph"/>
              <w:rPr>
                <w:b/>
                <w:sz w:val="24"/>
              </w:rPr>
            </w:pPr>
            <w:r>
              <w:rPr>
                <w:b/>
                <w:sz w:val="24"/>
              </w:rPr>
              <w:t>1550</w:t>
            </w:r>
          </w:p>
        </w:tc>
        <w:tc>
          <w:tcPr>
            <w:tcW w:w="7799" w:type="dxa"/>
          </w:tcPr>
          <w:p w14:paraId="7AB6E0BC" w14:textId="77777777" w:rsidR="00443A53" w:rsidRDefault="009C1861">
            <w:pPr>
              <w:pStyle w:val="TableParagraph"/>
              <w:spacing w:before="55"/>
              <w:rPr>
                <w:b/>
                <w:sz w:val="24"/>
              </w:rPr>
            </w:pPr>
            <w:r>
              <w:rPr>
                <w:b/>
                <w:sz w:val="24"/>
              </w:rPr>
              <w:t>Closing address</w:t>
            </w:r>
          </w:p>
        </w:tc>
      </w:tr>
      <w:tr w:rsidR="00443A53" w14:paraId="1B4BBEC2" w14:textId="77777777">
        <w:trPr>
          <w:trHeight w:val="396"/>
        </w:trPr>
        <w:tc>
          <w:tcPr>
            <w:tcW w:w="2129" w:type="dxa"/>
          </w:tcPr>
          <w:p w14:paraId="140E4B2E" w14:textId="77777777" w:rsidR="00443A53" w:rsidRDefault="009C1861">
            <w:pPr>
              <w:pStyle w:val="TableParagraph"/>
              <w:rPr>
                <w:b/>
                <w:sz w:val="24"/>
              </w:rPr>
            </w:pPr>
            <w:r>
              <w:rPr>
                <w:b/>
                <w:sz w:val="24"/>
              </w:rPr>
              <w:t>1600</w:t>
            </w:r>
          </w:p>
        </w:tc>
        <w:tc>
          <w:tcPr>
            <w:tcW w:w="7799" w:type="dxa"/>
          </w:tcPr>
          <w:p w14:paraId="0366D6D1" w14:textId="77777777" w:rsidR="00443A53" w:rsidRDefault="009C1861">
            <w:pPr>
              <w:pStyle w:val="TableParagraph"/>
              <w:spacing w:before="55"/>
              <w:rPr>
                <w:b/>
                <w:sz w:val="24"/>
              </w:rPr>
            </w:pPr>
            <w:r>
              <w:rPr>
                <w:b/>
                <w:sz w:val="24"/>
              </w:rPr>
              <w:t>End of day two</w:t>
            </w:r>
          </w:p>
        </w:tc>
      </w:tr>
    </w:tbl>
    <w:p w14:paraId="43E1E01C" w14:textId="77777777" w:rsidR="00443A53" w:rsidRDefault="009C1861">
      <w:pPr>
        <w:ind w:left="1440" w:right="1499"/>
        <w:rPr>
          <w:i/>
          <w:sz w:val="20"/>
        </w:rPr>
      </w:pPr>
      <w:r>
        <w:rPr>
          <w:i/>
          <w:sz w:val="20"/>
        </w:rPr>
        <w:t>The content of this programme might be subject to change. You will be given a final program at registration.</w:t>
      </w:r>
    </w:p>
    <w:p w14:paraId="4B5F5E86" w14:textId="77777777" w:rsidR="00443A53" w:rsidRDefault="00443A53">
      <w:pPr>
        <w:pStyle w:val="BodyText"/>
        <w:rPr>
          <w:i/>
          <w:sz w:val="22"/>
        </w:rPr>
      </w:pPr>
    </w:p>
    <w:p w14:paraId="24BA180B" w14:textId="77777777" w:rsidR="00443A53" w:rsidRDefault="009C1861">
      <w:pPr>
        <w:pStyle w:val="Heading1"/>
        <w:spacing w:before="161"/>
      </w:pPr>
      <w:r>
        <w:t>Real Media</w:t>
      </w:r>
    </w:p>
    <w:p w14:paraId="12391DEA" w14:textId="77777777" w:rsidR="00443A53" w:rsidRDefault="009C1861">
      <w:pPr>
        <w:pStyle w:val="BodyText"/>
        <w:spacing w:before="137"/>
        <w:ind w:left="1440"/>
      </w:pPr>
      <w:r>
        <w:t>There is no planned media coverage for this exercise.</w:t>
      </w:r>
    </w:p>
    <w:p w14:paraId="343D4B29" w14:textId="77777777" w:rsidR="00443A53" w:rsidRDefault="00443A53">
      <w:pPr>
        <w:pStyle w:val="BodyText"/>
        <w:rPr>
          <w:sz w:val="26"/>
        </w:rPr>
      </w:pPr>
    </w:p>
    <w:p w14:paraId="7D281C9F" w14:textId="77777777" w:rsidR="00443A53" w:rsidRDefault="009C1861">
      <w:pPr>
        <w:pStyle w:val="Heading1"/>
      </w:pPr>
      <w:r>
        <w:t>Confidentiality</w:t>
      </w:r>
    </w:p>
    <w:p w14:paraId="06DEE8BD" w14:textId="77777777" w:rsidR="00443A53" w:rsidRDefault="009C1861">
      <w:pPr>
        <w:pStyle w:val="BodyText"/>
        <w:spacing w:before="139" w:line="276" w:lineRule="auto"/>
        <w:ind w:left="1440" w:right="1499"/>
      </w:pPr>
      <w:r>
        <w:t>Please note this is a safe learning environment so details and content of this exercise should be kept confidential within your organisation. Please do not disclose to third parties, without prior discussion with the exercise team at Public Health England.</w:t>
      </w:r>
    </w:p>
    <w:p w14:paraId="39730C87" w14:textId="77777777" w:rsidR="00687BF2" w:rsidRDefault="00687BF2">
      <w:pPr>
        <w:pStyle w:val="Heading1"/>
      </w:pPr>
    </w:p>
    <w:p w14:paraId="20EC8693" w14:textId="0FC9529D" w:rsidR="00443A53" w:rsidRDefault="009C1861">
      <w:pPr>
        <w:pStyle w:val="Heading1"/>
      </w:pPr>
      <w:r>
        <w:t>Delegate feedback forms and evaluation</w:t>
      </w:r>
    </w:p>
    <w:p w14:paraId="2CF37E75" w14:textId="77777777" w:rsidR="00443A53" w:rsidRDefault="009C1861">
      <w:pPr>
        <w:pStyle w:val="BodyText"/>
        <w:spacing w:before="134"/>
        <w:ind w:left="1440" w:right="1538"/>
      </w:pPr>
      <w:r>
        <w:t xml:space="preserve">Delegates will participate in hot debriefs throughout the exercise presenting three key points/issues at sequential stages of the emergency response, and in a systematic evaluation session focusing on collective learning for the exercise, including </w:t>
      </w:r>
      <w:proofErr w:type="gramStart"/>
      <w:r>
        <w:t>in particular inter-</w:t>
      </w:r>
      <w:proofErr w:type="gramEnd"/>
      <w:r>
        <w:t>sectoral and cross border issues.</w:t>
      </w:r>
    </w:p>
    <w:p w14:paraId="14472C2B" w14:textId="77777777" w:rsidR="00443A53" w:rsidRDefault="00443A53">
      <w:pPr>
        <w:pStyle w:val="BodyText"/>
        <w:spacing w:before="8"/>
      </w:pPr>
    </w:p>
    <w:p w14:paraId="0976230C" w14:textId="77777777" w:rsidR="00443A53" w:rsidRDefault="009C1861">
      <w:pPr>
        <w:pStyle w:val="BodyText"/>
        <w:spacing w:line="276" w:lineRule="auto"/>
        <w:ind w:left="1440" w:right="1858"/>
      </w:pPr>
      <w:r>
        <w:t>In addition, we request that all participants complete and submit the delegate feedback form provided at the end of the day. This individual feedback is a highly valuable source of important information as it helps to identify lessons for consideration when planning future events.</w:t>
      </w:r>
    </w:p>
    <w:sectPr w:rsidR="00443A53">
      <w:footerReference w:type="default" r:id="rId13"/>
      <w:pgSz w:w="11910" w:h="16850"/>
      <w:pgMar w:top="1340" w:right="0" w:bottom="1200" w:left="0" w:header="0" w:footer="10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3C0C0" w14:textId="77777777" w:rsidR="003150F3" w:rsidRDefault="003150F3">
      <w:r>
        <w:separator/>
      </w:r>
    </w:p>
  </w:endnote>
  <w:endnote w:type="continuationSeparator" w:id="0">
    <w:p w14:paraId="6BAF7F8B" w14:textId="77777777" w:rsidR="003150F3" w:rsidRDefault="0031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AE74B" w14:textId="77777777" w:rsidR="00443A53" w:rsidRDefault="003150F3">
    <w:pPr>
      <w:pStyle w:val="BodyText"/>
      <w:spacing w:line="14" w:lineRule="auto"/>
      <w:rPr>
        <w:sz w:val="20"/>
      </w:rPr>
    </w:pPr>
    <w:r>
      <w:pict w14:anchorId="289F5E19">
        <v:shapetype id="_x0000_t202" coordsize="21600,21600" o:spt="202" path="m,l,21600r21600,l21600,xe">
          <v:stroke joinstyle="miter"/>
          <v:path gradientshapeok="t" o:connecttype="rect"/>
        </v:shapetype>
        <v:shape id="_x0000_s2051" type="#_x0000_t202" style="position:absolute;margin-left:292.55pt;margin-top:798.45pt;width:10.1pt;height:18pt;z-index:-8080;mso-position-horizontal-relative:page;mso-position-vertical-relative:page" filled="f" stroked="f">
          <v:textbox inset="0,0,0,0">
            <w:txbxContent>
              <w:p w14:paraId="32E723D6" w14:textId="77777777" w:rsidR="00443A53" w:rsidRDefault="009C1861">
                <w:pPr>
                  <w:spacing w:line="345" w:lineRule="exact"/>
                  <w:ind w:left="20"/>
                  <w:rPr>
                    <w:rFonts w:ascii="Calibri"/>
                    <w:b/>
                    <w:sz w:val="32"/>
                  </w:rPr>
                </w:pPr>
                <w:r>
                  <w:rPr>
                    <w:rFonts w:ascii="Calibri"/>
                    <w:b/>
                    <w:color w:val="FFFFFF"/>
                    <w:w w:val="99"/>
                    <w:sz w:val="32"/>
                  </w:rPr>
                  <w:t>3</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4763E" w14:textId="77777777" w:rsidR="00443A53" w:rsidRDefault="00443A5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55A30" w14:textId="77777777" w:rsidR="003150F3" w:rsidRDefault="003150F3">
      <w:r>
        <w:separator/>
      </w:r>
    </w:p>
  </w:footnote>
  <w:footnote w:type="continuationSeparator" w:id="0">
    <w:p w14:paraId="01428D66" w14:textId="77777777" w:rsidR="003150F3" w:rsidRDefault="00315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4E14EF"/>
    <w:multiLevelType w:val="hybridMultilevel"/>
    <w:tmpl w:val="A6189546"/>
    <w:lvl w:ilvl="0" w:tplc="2E025BAC">
      <w:start w:val="1"/>
      <w:numFmt w:val="decimal"/>
      <w:lvlText w:val="%1."/>
      <w:lvlJc w:val="left"/>
      <w:pPr>
        <w:ind w:left="1800" w:hanging="360"/>
        <w:jc w:val="left"/>
      </w:pPr>
      <w:rPr>
        <w:rFonts w:ascii="Arial" w:eastAsia="Arial" w:hAnsi="Arial" w:cs="Arial" w:hint="default"/>
        <w:b/>
        <w:bCs/>
        <w:w w:val="99"/>
        <w:sz w:val="24"/>
        <w:szCs w:val="24"/>
        <w:lang w:val="en-GB" w:eastAsia="en-GB" w:bidi="en-GB"/>
      </w:rPr>
    </w:lvl>
    <w:lvl w:ilvl="1" w:tplc="4F10A794">
      <w:numFmt w:val="bullet"/>
      <w:lvlText w:val=""/>
      <w:lvlJc w:val="left"/>
      <w:pPr>
        <w:ind w:left="2160" w:hanging="360"/>
      </w:pPr>
      <w:rPr>
        <w:rFonts w:ascii="Symbol" w:eastAsia="Symbol" w:hAnsi="Symbol" w:cs="Symbol" w:hint="default"/>
        <w:w w:val="100"/>
        <w:sz w:val="24"/>
        <w:szCs w:val="24"/>
        <w:lang w:val="en-GB" w:eastAsia="en-GB" w:bidi="en-GB"/>
      </w:rPr>
    </w:lvl>
    <w:lvl w:ilvl="2" w:tplc="4DE8233E">
      <w:numFmt w:val="bullet"/>
      <w:lvlText w:val="•"/>
      <w:lvlJc w:val="left"/>
      <w:pPr>
        <w:ind w:left="3242" w:hanging="360"/>
      </w:pPr>
      <w:rPr>
        <w:rFonts w:hint="default"/>
        <w:lang w:val="en-GB" w:eastAsia="en-GB" w:bidi="en-GB"/>
      </w:rPr>
    </w:lvl>
    <w:lvl w:ilvl="3" w:tplc="79369E04">
      <w:numFmt w:val="bullet"/>
      <w:lvlText w:val="•"/>
      <w:lvlJc w:val="left"/>
      <w:pPr>
        <w:ind w:left="4325" w:hanging="360"/>
      </w:pPr>
      <w:rPr>
        <w:rFonts w:hint="default"/>
        <w:lang w:val="en-GB" w:eastAsia="en-GB" w:bidi="en-GB"/>
      </w:rPr>
    </w:lvl>
    <w:lvl w:ilvl="4" w:tplc="7EB0BAE2">
      <w:numFmt w:val="bullet"/>
      <w:lvlText w:val="•"/>
      <w:lvlJc w:val="left"/>
      <w:pPr>
        <w:ind w:left="5408" w:hanging="360"/>
      </w:pPr>
      <w:rPr>
        <w:rFonts w:hint="default"/>
        <w:lang w:val="en-GB" w:eastAsia="en-GB" w:bidi="en-GB"/>
      </w:rPr>
    </w:lvl>
    <w:lvl w:ilvl="5" w:tplc="0ADC0ABE">
      <w:numFmt w:val="bullet"/>
      <w:lvlText w:val="•"/>
      <w:lvlJc w:val="left"/>
      <w:pPr>
        <w:ind w:left="6491" w:hanging="360"/>
      </w:pPr>
      <w:rPr>
        <w:rFonts w:hint="default"/>
        <w:lang w:val="en-GB" w:eastAsia="en-GB" w:bidi="en-GB"/>
      </w:rPr>
    </w:lvl>
    <w:lvl w:ilvl="6" w:tplc="5FF46C24">
      <w:numFmt w:val="bullet"/>
      <w:lvlText w:val="•"/>
      <w:lvlJc w:val="left"/>
      <w:pPr>
        <w:ind w:left="7574" w:hanging="360"/>
      </w:pPr>
      <w:rPr>
        <w:rFonts w:hint="default"/>
        <w:lang w:val="en-GB" w:eastAsia="en-GB" w:bidi="en-GB"/>
      </w:rPr>
    </w:lvl>
    <w:lvl w:ilvl="7" w:tplc="38FC6CE6">
      <w:numFmt w:val="bullet"/>
      <w:lvlText w:val="•"/>
      <w:lvlJc w:val="left"/>
      <w:pPr>
        <w:ind w:left="8657" w:hanging="360"/>
      </w:pPr>
      <w:rPr>
        <w:rFonts w:hint="default"/>
        <w:lang w:val="en-GB" w:eastAsia="en-GB" w:bidi="en-GB"/>
      </w:rPr>
    </w:lvl>
    <w:lvl w:ilvl="8" w:tplc="543E602E">
      <w:numFmt w:val="bullet"/>
      <w:lvlText w:val="•"/>
      <w:lvlJc w:val="left"/>
      <w:pPr>
        <w:ind w:left="9740"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43A53"/>
    <w:rsid w:val="001A104E"/>
    <w:rsid w:val="002828A9"/>
    <w:rsid w:val="003150F3"/>
    <w:rsid w:val="00443A53"/>
    <w:rsid w:val="00483830"/>
    <w:rsid w:val="00527AB5"/>
    <w:rsid w:val="00687BF2"/>
    <w:rsid w:val="009C1861"/>
    <w:rsid w:val="00FB6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C6D7C0"/>
  <w15:docId w15:val="{938B3617-DB11-48D8-8964-915D0112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4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60" w:hanging="360"/>
    </w:pPr>
  </w:style>
  <w:style w:type="paragraph" w:customStyle="1" w:styleId="TableParagraph">
    <w:name w:val="Table Paragraph"/>
    <w:basedOn w:val="Normal"/>
    <w:uiPriority w:val="1"/>
    <w:qFormat/>
    <w:pPr>
      <w:spacing w:before="46"/>
      <w:ind w:left="107"/>
    </w:pPr>
  </w:style>
  <w:style w:type="paragraph" w:styleId="Header">
    <w:name w:val="header"/>
    <w:basedOn w:val="Normal"/>
    <w:link w:val="HeaderChar"/>
    <w:uiPriority w:val="99"/>
    <w:unhideWhenUsed/>
    <w:rsid w:val="00FB6484"/>
    <w:pPr>
      <w:tabs>
        <w:tab w:val="center" w:pos="4513"/>
        <w:tab w:val="right" w:pos="9026"/>
      </w:tabs>
    </w:pPr>
  </w:style>
  <w:style w:type="character" w:customStyle="1" w:styleId="HeaderChar">
    <w:name w:val="Header Char"/>
    <w:basedOn w:val="DefaultParagraphFont"/>
    <w:link w:val="Header"/>
    <w:uiPriority w:val="99"/>
    <w:rsid w:val="00FB6484"/>
    <w:rPr>
      <w:rFonts w:ascii="Arial" w:eastAsia="Arial" w:hAnsi="Arial" w:cs="Arial"/>
      <w:lang w:val="en-GB" w:eastAsia="en-GB" w:bidi="en-GB"/>
    </w:rPr>
  </w:style>
  <w:style w:type="paragraph" w:styleId="Footer">
    <w:name w:val="footer"/>
    <w:basedOn w:val="Normal"/>
    <w:link w:val="FooterChar"/>
    <w:uiPriority w:val="99"/>
    <w:unhideWhenUsed/>
    <w:rsid w:val="00FB6484"/>
    <w:pPr>
      <w:tabs>
        <w:tab w:val="center" w:pos="4513"/>
        <w:tab w:val="right" w:pos="9026"/>
      </w:tabs>
    </w:pPr>
  </w:style>
  <w:style w:type="character" w:customStyle="1" w:styleId="FooterChar">
    <w:name w:val="Footer Char"/>
    <w:basedOn w:val="DefaultParagraphFont"/>
    <w:link w:val="Footer"/>
    <w:uiPriority w:val="99"/>
    <w:rsid w:val="00FB6484"/>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drm_abstract xmlns="c2caa31d-9436-40bf-b2d0-a2d186d63543" xsi:nil="true"/>
    <TaxKeywordTaxHTField xmlns="d23a570b-d7a9-49ca-a34c-8afb8206b4bf">
      <Terms xmlns="http://schemas.microsoft.com/office/infopath/2007/PartnerControls"/>
    </TaxKeywordTaxHTField>
    <edrm_business_id xmlns="c2caa31d-9436-40bf-b2d0-a2d186d63543" xsi:nil="true"/>
    <TaxCatchAll xmlns="d23a570b-d7a9-49ca-a34c-8afb8206b4bf">
      <Value>2090</Value>
      <Value>2089</Value>
      <Value>2088</Value>
      <Value>2087</Value>
      <Value>2086</Value>
      <Value>2085</Value>
      <Value>191</Value>
      <Value>2091</Value>
    </TaxCatchAll>
    <edrm_diseaseTaxHTField0 xmlns="c2caa31d-9436-40bf-b2d0-a2d186d63543">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bad72cf5-edc4-4bad-9035-f5ac84acbef6</TermId>
        </TermInfo>
      </Terms>
    </edrm_diseaseTaxHTField0>
    <edrm_institutionTaxHTField0 xmlns="c2caa31d-9436-40bf-b2d0-a2d186d63543">
      <Terms xmlns="http://schemas.microsoft.com/office/infopath/2007/PartnerControls"/>
    </edrm_institutionTaxHTField0>
    <edrm_spatialTaxHTField0 xmlns="c2caa31d-9436-40bf-b2d0-a2d186d63543">
      <Terms xmlns="http://schemas.microsoft.com/office/infopath/2007/PartnerControls"/>
    </edrm_spatialTaxHTField0>
    <edrm_temporal xmlns="c2caa31d-9436-40bf-b2d0-a2d186d63543" xsi:nil="true"/>
    <edrm_source_id xmlns="c2caa31d-9436-40bf-b2d0-a2d186d63543" xsi:nil="true"/>
    <edrm_source xmlns="c2caa31d-9436-40bf-b2d0-a2d186d63543" xsi:nil="true"/>
    <edrm_languageTaxHTField0 xmlns="c2caa31d-9436-40bf-b2d0-a2d186d6354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f0d96333-3b15-448d-bec3-c97f3b65cb2d</TermId>
        </TermInfo>
      </Terms>
    </edrm_languageTaxHTField0>
    <edrm_statusTaxHTField0 xmlns="c2caa31d-9436-40bf-b2d0-a2d186d63543">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210dfa89-0dc2-4261-944c-0ccc26c12bbd</TermId>
        </TermInfo>
      </Terms>
    </edrm_statusTaxHTField0>
    <edrm_entityTaxHTField0 xmlns="c2caa31d-9436-40bf-b2d0-a2d186d63543">
      <Terms xmlns="http://schemas.microsoft.com/office/infopath/2007/PartnerControls">
        <TermInfo xmlns="http://schemas.microsoft.com/office/infopath/2007/PartnerControls">
          <TermName xmlns="http://schemas.microsoft.com/office/infopath/2007/PartnerControls">Public Health Capacity and Communication Unit</TermName>
          <TermId xmlns="http://schemas.microsoft.com/office/infopath/2007/PartnerControls">2eba60bf-8184-4cce-9462-e287103fda5c</TermId>
        </TermInfo>
      </Terms>
    </edrm_entityTaxHTField0>
    <edrm_contributor xmlns="c2caa31d-9436-40bf-b2d0-a2d186d63543" xsi:nil="true"/>
    <edrm_functionTaxHTField0 xmlns="c2caa31d-9436-40bf-b2d0-a2d186d63543">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92bcb685-885a-40ff-9744-3825164b3c86</TermId>
        </TermInfo>
      </Terms>
    </edrm_functionTaxHTField0>
    <edrm_relation xmlns="c2caa31d-9436-40bf-b2d0-a2d186d63543" xsi:nil="true"/>
    <edrm_published xmlns="c2caa31d-9436-40bf-b2d0-a2d186d63543" xsi:nil="true"/>
    <edrm_document_typeTaxHTField0 xmlns="c2caa31d-9436-40bf-b2d0-a2d186d63543">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581b895d-77e9-46ec-8c5e-850161f4a515</TermId>
        </TermInfo>
      </Terms>
    </edrm_document_typeTaxHTField0>
    <edrm_destination xmlns="c2caa31d-9436-40bf-b2d0-a2d186d63543" xsi:nil="true"/>
    <edrm_description xmlns="c2caa31d-9436-40bf-b2d0-a2d186d63543" xsi:nil="true"/>
    <edrm_securityTaxHTField0 xmlns="5853e249-3efc-412b-93d1-e2f4d7003703">
      <Terms xmlns="http://schemas.microsoft.com/office/infopath/2007/PartnerControls">
        <TermInfo xmlns="http://schemas.microsoft.com/office/infopath/2007/PartnerControls">
          <TermName xmlns="http://schemas.microsoft.com/office/infopath/2007/PartnerControls">Restricted:Internal</TermName>
          <TermId xmlns="http://schemas.microsoft.com/office/infopath/2007/PartnerControls">caa52167-d17e-46dd-9322-12d83d57eefa</TermId>
        </TermInfo>
      </Terms>
    </edrm_securityTaxHTField0>
    <_dlc_DocId xmlns="5c728178-6efc-4233-8faf-5837ddb4420c">DOI1004-685636211-40</_dlc_DocId>
    <_dlc_DocIdUrl xmlns="5c728178-6efc-4233-8faf-5837ddb4420c">
      <Url>http://dms.ecdcnet.europa.eu/sites/phc/cps/simex/_layouts/15/DocIdRedir.aspx?ID=DOI1004-685636211-40</Url>
      <Description>DOI1004-685636211-40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MS Standard Document" ma:contentTypeID="0x010100AC5F05EE723746C8B04977149422A68B003D7BA701D4F97E49848D1DA57D3F6F58" ma:contentTypeVersion="37" ma:contentTypeDescription="Create a new DMS document using standard metadata." ma:contentTypeScope="" ma:versionID="19898b24768d6e459afee9163330b97e">
  <xsd:schema xmlns:xsd="http://www.w3.org/2001/XMLSchema" xmlns:xs="http://www.w3.org/2001/XMLSchema" xmlns:p="http://schemas.microsoft.com/office/2006/metadata/properties" xmlns:ns3="c2caa31d-9436-40bf-b2d0-a2d186d63543" xmlns:ns4="d23a570b-d7a9-49ca-a34c-8afb8206b4bf" xmlns:ns5="5853e249-3efc-412b-93d1-e2f4d7003703" xmlns:ns6="5c728178-6efc-4233-8faf-5837ddb4420c" targetNamespace="http://schemas.microsoft.com/office/2006/metadata/properties" ma:root="true" ma:fieldsID="437fed20f2e6f1077ed432b10b2a10c3" ns3:_="" ns4:_="" ns5:_="" ns6:_="">
    <xsd:import namespace="c2caa31d-9436-40bf-b2d0-a2d186d63543"/>
    <xsd:import namespace="d23a570b-d7a9-49ca-a34c-8afb8206b4bf"/>
    <xsd:import namespace="5853e249-3efc-412b-93d1-e2f4d7003703"/>
    <xsd:import namespace="5c728178-6efc-4233-8faf-5837ddb4420c"/>
    <xsd:element name="properties">
      <xsd:complexType>
        <xsd:sequence>
          <xsd:element name="documentManagement">
            <xsd:complexType>
              <xsd:all>
                <xsd:element ref="ns3:edrm_statusTaxHTField0" minOccurs="0"/>
                <xsd:element ref="ns3:edrm_abstract" minOccurs="0"/>
                <xsd:element ref="ns3:edrm_document_typeTaxHTField0" minOccurs="0"/>
                <xsd:element ref="ns4:TaxKeywordTaxHTField" minOccurs="0"/>
                <xsd:element ref="ns3:edrm_entityTaxHTField0" minOccurs="0"/>
                <xsd:element ref="ns3:edrm_functionTaxHTField0" minOccurs="0"/>
                <xsd:element ref="ns3:edrm_diseaseTaxHTField0" minOccurs="0"/>
                <xsd:element ref="ns3:edrm_institutionTaxHTField0" minOccurs="0"/>
                <xsd:element ref="ns3:edrm_spatialTaxHTField0" minOccurs="0"/>
                <xsd:element ref="ns3:edrm_temporal" minOccurs="0"/>
                <xsd:element ref="ns3:edrm_contributor" minOccurs="0"/>
                <xsd:element ref="ns3:edrm_source" minOccurs="0"/>
                <xsd:element ref="ns3:edrm_destination" minOccurs="0"/>
                <xsd:element ref="ns3:edrm_languageTaxHTField0" minOccurs="0"/>
                <xsd:element ref="ns3:edrm_relation" minOccurs="0"/>
                <xsd:element ref="ns3:edrm_business_id" minOccurs="0"/>
                <xsd:element ref="ns3:edrm_published" minOccurs="0"/>
                <xsd:element ref="ns5:edrm_securityTaxHTField0" minOccurs="0"/>
                <xsd:element ref="ns3:edrm_source_id" minOccurs="0"/>
                <xsd:element ref="ns3:edrm_description" minOccurs="0"/>
                <xsd:element ref="ns4:TaxCatchAll" minOccurs="0"/>
                <xsd:element ref="ns4:TaxCatchAllLabel" minOccurs="0"/>
                <xsd:element ref="ns6:_dlc_DocIdPersistId" minOccurs="0"/>
                <xsd:element ref="ns6:_dlc_DocIdUrl" minOccurs="0"/>
                <xsd:element ref="ns6: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aa31d-9436-40bf-b2d0-a2d186d63543" elementFormDefault="qualified">
    <xsd:import namespace="http://schemas.microsoft.com/office/2006/documentManagement/types"/>
    <xsd:import namespace="http://schemas.microsoft.com/office/infopath/2007/PartnerControls"/>
    <xsd:element name="edrm_statusTaxHTField0" ma:index="4" nillable="true" ma:taxonomy="true" ma:internalName="edrm_statusTaxHTField0" ma:taxonomyFieldName="edrm_status" ma:displayName="Status" ma:default="2085;#Draft|210dfa89-0dc2-4261-944c-0ccc26c12bbd" ma:fieldId="{1769f356-df85-4ce7-99d0-faa0deaeda16}" ma:sspId="de887f88-4a24-49db-a549-4c3cbb517053" ma:termSetId="a4aa3e68-b9a2-4634-8953-40c33ad97294" ma:anchorId="00000000-0000-0000-0000-000000000000" ma:open="false" ma:isKeyword="false">
      <xsd:complexType>
        <xsd:sequence>
          <xsd:element ref="pc:Terms" minOccurs="0" maxOccurs="1"/>
        </xsd:sequence>
      </xsd:complexType>
    </xsd:element>
    <xsd:element name="edrm_abstract" ma:index="6" nillable="true" ma:displayName="Abstract" ma:description="Enter a brief summary of the document." ma:internalName="edrm_abstract">
      <xsd:simpleType>
        <xsd:restriction base="dms:Note">
          <xsd:maxLength value="255"/>
        </xsd:restriction>
      </xsd:simpleType>
    </xsd:element>
    <xsd:element name="edrm_document_typeTaxHTField0" ma:index="8" nillable="true" ma:taxonomy="true" ma:internalName="edrm_document_typeTaxHTField0" ma:taxonomyFieldName="edrm_document_type" ma:displayName="Document Type" ma:default="2086;#Not specified|581b895d-77e9-46ec-8c5e-850161f4a515" ma:fieldId="{ec4ddaad-3229-4fc4-a024-3fe9d99f9428}" ma:sspId="de887f88-4a24-49db-a549-4c3cbb517053" ma:termSetId="eb4bb10f-8af3-4140-b974-68ee68d19521" ma:anchorId="00000000-0000-0000-0000-000000000000" ma:open="false" ma:isKeyword="false">
      <xsd:complexType>
        <xsd:sequence>
          <xsd:element ref="pc:Terms" minOccurs="0" maxOccurs="1"/>
        </xsd:sequence>
      </xsd:complexType>
    </xsd:element>
    <xsd:element name="edrm_entityTaxHTField0" ma:index="12" nillable="true" ma:taxonomy="true" ma:internalName="edrm_entityTaxHTField0" ma:taxonomyFieldName="edrm_entity" ma:displayName="Organisational Entity" ma:default="2225;#Not specified|fad8187c-04b0-4558-881b-24271aee3920" ma:fieldId="{37b7452e-be9c-4dba-a099-1501dc66d8a3}" ma:taxonomyMulti="true" ma:sspId="de887f88-4a24-49db-a549-4c3cbb517053" ma:termSetId="e20e5ba2-0795-428a-ab87-51552d5d816b" ma:anchorId="00000000-0000-0000-0000-000000000000" ma:open="false" ma:isKeyword="false">
      <xsd:complexType>
        <xsd:sequence>
          <xsd:element ref="pc:Terms" minOccurs="0" maxOccurs="1"/>
        </xsd:sequence>
      </xsd:complexType>
    </xsd:element>
    <xsd:element name="edrm_functionTaxHTField0" ma:index="14" nillable="true" ma:taxonomy="true" ma:internalName="edrm_functionTaxHTField0" ma:taxonomyFieldName="edrm_function" ma:displayName="Function" ma:default="2087;#Not specified|92bcb685-885a-40ff-9744-3825164b3c86" ma:fieldId="{1a20e88e-837d-4568-a9c6-ce04a029a32c}" ma:sspId="de887f88-4a24-49db-a549-4c3cbb517053" ma:termSetId="40343c03-3d49-4645-8519-e1b98caf104f" ma:anchorId="00000000-0000-0000-0000-000000000000" ma:open="false" ma:isKeyword="false">
      <xsd:complexType>
        <xsd:sequence>
          <xsd:element ref="pc:Terms" minOccurs="0" maxOccurs="1"/>
        </xsd:sequence>
      </xsd:complexType>
    </xsd:element>
    <xsd:element name="edrm_diseaseTaxHTField0" ma:index="16" nillable="true" ma:taxonomy="true" ma:internalName="edrm_diseaseTaxHTField0" ma:taxonomyFieldName="edrm_disease" ma:displayName="Disease or Pathogen" ma:default="2088;#Not specified|bad72cf5-edc4-4bad-9035-f5ac84acbef6" ma:fieldId="{8c0ce584-fc57-4893-af6c-ccfd94b6b2a7}" ma:taxonomyMulti="true" ma:sspId="de887f88-4a24-49db-a549-4c3cbb517053" ma:termSetId="5458a713-f419-4e2a-99bc-e23296f159ea" ma:anchorId="00000000-0000-0000-0000-000000000000" ma:open="false" ma:isKeyword="false">
      <xsd:complexType>
        <xsd:sequence>
          <xsd:element ref="pc:Terms" minOccurs="0" maxOccurs="1"/>
        </xsd:sequence>
      </xsd:complexType>
    </xsd:element>
    <xsd:element name="edrm_institutionTaxHTField0" ma:index="18" nillable="true" ma:taxonomy="true" ma:internalName="edrm_institutionTaxHTField0" ma:taxonomyFieldName="edrm_institution" ma:displayName="Agency or Institution" ma:default="2224;#Not specified|32b61ae9-a8e3-4f59-a483-92e9ff78eddd" ma:fieldId="{4a367f65-90ec-4e15-b1d0-571c07d5775f}" ma:taxonomyMulti="true" ma:sspId="de887f88-4a24-49db-a549-4c3cbb517053" ma:termSetId="fd67ad9b-8b93-4f2d-8c83-b59dcffdaef4" ma:anchorId="00000000-0000-0000-0000-000000000000" ma:open="false" ma:isKeyword="false">
      <xsd:complexType>
        <xsd:sequence>
          <xsd:element ref="pc:Terms" minOccurs="0" maxOccurs="1"/>
        </xsd:sequence>
      </xsd:complexType>
    </xsd:element>
    <xsd:element name="edrm_spatialTaxHTField0" ma:index="20" nillable="true" ma:taxonomy="true" ma:internalName="edrm_spatialTaxHTField0" ma:taxonomyFieldName="edrm_spatial" ma:displayName="Geography" ma:fieldId="{d4a3869b-d125-4536-93fb-67f79711ebab}" ma:taxonomyMulti="true" ma:sspId="de887f88-4a24-49db-a549-4c3cbb517053" ma:termSetId="db2301f2-b084-4b33-b75e-23fa2d0008fb" ma:anchorId="00000000-0000-0000-0000-000000000000" ma:open="false" ma:isKeyword="false">
      <xsd:complexType>
        <xsd:sequence>
          <xsd:element ref="pc:Terms" minOccurs="0" maxOccurs="1"/>
        </xsd:sequence>
      </xsd:complexType>
    </xsd:element>
    <xsd:element name="edrm_temporal" ma:index="21" nillable="true" ma:displayName="Time Period" ma:description="Provide a date, date range or year(s) relevant to the content." ma:internalName="edrm_temporal">
      <xsd:simpleType>
        <xsd:restriction base="dms:Text"/>
      </xsd:simpleType>
    </xsd:element>
    <xsd:element name="edrm_contributor" ma:index="22" nillable="true" ma:displayName="Contributor" ma:description="Enter names of persons or entities both internal or external contributing to this document." ma:internalName="edrm_contributor">
      <xsd:simpleType>
        <xsd:restriction base="dms:Note">
          <xsd:maxLength value="255"/>
        </xsd:restriction>
      </xsd:simpleType>
    </xsd:element>
    <xsd:element name="edrm_source" ma:index="23" nillable="true" ma:displayName="Source" ma:description="Enter the name of sender or name of originating system." ma:internalName="edrm_source">
      <xsd:simpleType>
        <xsd:restriction base="dms:Text"/>
      </xsd:simpleType>
    </xsd:element>
    <xsd:element name="edrm_destination" ma:index="24" nillable="true" ma:displayName="Destination" ma:description="Enter name of receiving party or name of destination system." ma:internalName="edrm_destination">
      <xsd:simpleType>
        <xsd:restriction base="dms:Text"/>
      </xsd:simpleType>
    </xsd:element>
    <xsd:element name="edrm_languageTaxHTField0" ma:index="26" nillable="true" ma:taxonomy="true" ma:internalName="edrm_languageTaxHTField0" ma:taxonomyFieldName="edrm_language" ma:displayName="Language" ma:fieldId="{715ecdb4-8c45-4bfe-a7db-0918a9b06f00}" ma:taxonomyMulti="true" ma:sspId="de887f88-4a24-49db-a549-4c3cbb517053" ma:termSetId="7d593225-9b63-4a86-9243-d93ae3a13b62" ma:anchorId="00000000-0000-0000-0000-000000000000" ma:open="false" ma:isKeyword="false">
      <xsd:complexType>
        <xsd:sequence>
          <xsd:element ref="pc:Terms" minOccurs="0" maxOccurs="1"/>
        </xsd:sequence>
      </xsd:complexType>
    </xsd:element>
    <xsd:element name="edrm_relation" ma:index="27" nillable="true" ma:displayName="Relation" ma:description="Enter one or more document identifier values to link other documents with the current." ma:internalName="edrm_relation">
      <xsd:simpleType>
        <xsd:restriction base="dms:Note"/>
      </xsd:simpleType>
    </xsd:element>
    <xsd:element name="edrm_business_id" ma:index="28" nillable="true" ma:displayName="Business ID" ma:description="Enter reference number from the corresponding line of business system, such as MIS, ABAC, etc." ma:internalName="edrm_business_id">
      <xsd:simpleType>
        <xsd:restriction base="dms:Text"/>
      </xsd:simpleType>
    </xsd:element>
    <xsd:element name="edrm_published" ma:index="29" nillable="true" ma:displayName="Publish Date" ma:description="Select a date when the this document was first published or is scheduled to be published." ma:format="DateOnly" ma:internalName="edrm_published">
      <xsd:simpleType>
        <xsd:restriction base="dms:DateTime"/>
      </xsd:simpleType>
    </xsd:element>
    <xsd:element name="edrm_source_id" ma:index="32" nillable="true" ma:displayName="Source Id" ma:description="The source Id is used to track the original document ID assigned to a document by the DMS.  This is useful when tracking links between the new record and the original document." ma:hidden="true" ma:internalName="edrm_source_id">
      <xsd:simpleType>
        <xsd:restriction base="dms:Text"/>
      </xsd:simpleType>
    </xsd:element>
    <xsd:element name="edrm_description" ma:index="33" nillable="true" ma:displayName="Description" ma:description="Enter a short description of this template." ma:hidden="true" ma:internalName="edrm_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a570b-d7a9-49ca-a34c-8afb8206b4bf"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Tags" ma:fieldId="{23f27201-bee3-471e-b2e7-b64fd8b7ca38}" ma:taxonomyMulti="true" ma:sspId="de887f88-4a24-49db-a549-4c3cbb517053" ma:termSetId="00000000-0000-0000-0000-000000000000" ma:anchorId="00000000-0000-0000-0000-000000000000" ma:open="true" ma:isKeyword="true">
      <xsd:complexType>
        <xsd:sequence>
          <xsd:element ref="pc:Terms" minOccurs="0" maxOccurs="1"/>
        </xsd:sequence>
      </xsd:complexType>
    </xsd:element>
    <xsd:element name="TaxCatchAll" ma:index="34" nillable="true" ma:displayName="Taxonomy Catch All Column" ma:hidden="true" ma:list="{3e5925a3-a52f-4d08-a0f0-da9b33f289cc}" ma:internalName="TaxCatchAll" ma:showField="CatchAllData" ma:web="5853e249-3efc-412b-93d1-e2f4d7003703">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3e5925a3-a52f-4d08-a0f0-da9b33f289cc}" ma:internalName="TaxCatchAllLabel" ma:readOnly="true" ma:showField="CatchAllDataLabel" ma:web="5853e249-3efc-412b-93d1-e2f4d70037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3e249-3efc-412b-93d1-e2f4d7003703" elementFormDefault="qualified">
    <xsd:import namespace="http://schemas.microsoft.com/office/2006/documentManagement/types"/>
    <xsd:import namespace="http://schemas.microsoft.com/office/infopath/2007/PartnerControls"/>
    <xsd:element name="edrm_securityTaxHTField0" ma:index="31" nillable="true" ma:taxonomy="true" ma:internalName="edrm_securityTaxHTField0" ma:taxonomyFieldName="edrm_security" ma:displayName="Security Markings" ma:readOnly="false" ma:default="2089;#Restricted:Internal|caa52167-d17e-46dd-9322-12d83d57eefa" ma:fieldId="{8f2e1753-3dee-45e1-8331-47742b8a936b}" ma:sspId="de887f88-4a24-49db-a549-4c3cbb517053" ma:termSetId="aab03dc1-81bd-4e16-b74e-d3cde2f939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728178-6efc-4233-8faf-5837ddb4420c" elementFormDefault="qualified">
    <xsd:import namespace="http://schemas.microsoft.com/office/2006/documentManagement/types"/>
    <xsd:import namespace="http://schemas.microsoft.com/office/infopath/2007/PartnerControls"/>
    <xsd:element name="_dlc_DocIdPersistId" ma:index="36" nillable="true" ma:displayName="Persist ID" ma:description="Keep ID on add." ma:hidden="true" ma:internalName="_dlc_DocIdPersistId" ma:readOnly="true">
      <xsd:simpleType>
        <xsd:restriction base="dms:Boolean"/>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8"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ED4CCC-FA86-4D27-9C96-2D545C00CF1F}">
  <ds:schemaRefs>
    <ds:schemaRef ds:uri="http://schemas.microsoft.com/office/2006/metadata/properties"/>
    <ds:schemaRef ds:uri="http://schemas.microsoft.com/office/infopath/2007/PartnerControls"/>
    <ds:schemaRef ds:uri="c2caa31d-9436-40bf-b2d0-a2d186d63543"/>
    <ds:schemaRef ds:uri="d23a570b-d7a9-49ca-a34c-8afb8206b4bf"/>
    <ds:schemaRef ds:uri="5853e249-3efc-412b-93d1-e2f4d7003703"/>
    <ds:schemaRef ds:uri="5c728178-6efc-4233-8faf-5837ddb4420c"/>
  </ds:schemaRefs>
</ds:datastoreItem>
</file>

<file path=customXml/itemProps2.xml><?xml version="1.0" encoding="utf-8"?>
<ds:datastoreItem xmlns:ds="http://schemas.openxmlformats.org/officeDocument/2006/customXml" ds:itemID="{3D14F7D0-9D17-4BFB-9C41-BDAFD7F0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aa31d-9436-40bf-b2d0-a2d186d63543"/>
    <ds:schemaRef ds:uri="d23a570b-d7a9-49ca-a34c-8afb8206b4bf"/>
    <ds:schemaRef ds:uri="5853e249-3efc-412b-93d1-e2f4d7003703"/>
    <ds:schemaRef ds:uri="5c728178-6efc-4233-8faf-5837ddb44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6CB42-D03B-420A-AD8C-8C371957E13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870</Words>
  <Characters>4964</Characters>
  <Application>Microsoft Office Word</Application>
  <DocSecurity>0</DocSecurity>
  <Lines>41</Lines>
  <Paragraphs>11</Paragraphs>
  <ScaleCrop>false</ScaleCrop>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Not specified</dc:subject>
  <dc:creator>ECDC</dc:creator>
  <cp:lastModifiedBy>Paul Riley</cp:lastModifiedBy>
  <cp:revision>2</cp:revision>
  <dcterms:created xsi:type="dcterms:W3CDTF">2021-11-24T09:08:00Z</dcterms:created>
  <dcterms:modified xsi:type="dcterms:W3CDTF">2021-11-24T09:08:00Z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2016-05-10T00:00:00Z</vt:filetime>
  </property>
  <property fmtid="{D5CDD505-2E9C-101B-9397-08002B2CF9AE}" pid="3" name="Creator">
    <vt:lpwstr>Microsoft® Word 2010</vt:lpwstr>
  </property>
  <property fmtid="{D5CDD505-2E9C-101B-9397-08002B2CF9AE}" pid="4" name="LastSaved">
    <vt:filetime>2019-05-08T00:00:00Z</vt:filetime>
  </property>
  <property fmtid="{D5CDD505-2E9C-101B-9397-08002B2CF9AE}" pid="5" name="ContentTypeId">
    <vt:lpwstr>0x010100AC5F05EE723746C8B04977149422A68B003D7BA701D4F97E49848D1DA57D3F6F58</vt:lpwstr>
  </property>
  <property fmtid="{D5CDD505-2E9C-101B-9397-08002B2CF9AE}" pid="6" name="ECDC_DMS_Author">
    <vt:lpwstr>167</vt:lpwstr>
  </property>
  <property fmtid="{D5CDD505-2E9C-101B-9397-08002B2CF9AE}" pid="7" name="ECDC_DMS_Organization">
    <vt:lpwstr>191;#support|ee825c77-cffb-4565-a0a1-105643c49b0f</vt:lpwstr>
  </property>
  <property fmtid="{D5CDD505-2E9C-101B-9397-08002B2CF9AE}" pid="8" name="ECDC_DMS_Organization0">
    <vt:lpwstr>support|ee825c77-cffb-4565-a0a1-105643c49b0f</vt:lpwstr>
  </property>
  <property fmtid="{D5CDD505-2E9C-101B-9397-08002B2CF9AE}" pid="9" name="ECDC_DMS_Group">
    <vt:lpwstr>support</vt:lpwstr>
  </property>
  <property fmtid="{D5CDD505-2E9C-101B-9397-08002B2CF9AE}" pid="10" name="_dlc_DocIdItemGuid">
    <vt:lpwstr>8dbed8c8-69a4-4344-8c83-33bfa0177036</vt:lpwstr>
  </property>
  <property fmtid="{D5CDD505-2E9C-101B-9397-08002B2CF9AE}" pid="11" name="edrm_document_type">
    <vt:lpwstr>2086;#Not specified|581b895d-77e9-46ec-8c5e-850161f4a515</vt:lpwstr>
  </property>
  <property fmtid="{D5CDD505-2E9C-101B-9397-08002B2CF9AE}" pid="12" name="edrm_function">
    <vt:lpwstr>2087;#Not specified|92bcb685-885a-40ff-9744-3825164b3c86</vt:lpwstr>
  </property>
  <property fmtid="{D5CDD505-2E9C-101B-9397-08002B2CF9AE}" pid="13" name="TaxKeyword">
    <vt:lpwstr/>
  </property>
  <property fmtid="{D5CDD505-2E9C-101B-9397-08002B2CF9AE}" pid="14" name="edrm_status">
    <vt:lpwstr>2085;#Draft|210dfa89-0dc2-4261-944c-0ccc26c12bbd</vt:lpwstr>
  </property>
  <property fmtid="{D5CDD505-2E9C-101B-9397-08002B2CF9AE}" pid="15" name="edrm_disease">
    <vt:lpwstr>2088;#Not specified|bad72cf5-edc4-4bad-9035-f5ac84acbef6</vt:lpwstr>
  </property>
  <property fmtid="{D5CDD505-2E9C-101B-9397-08002B2CF9AE}" pid="16" name="edrm_security">
    <vt:lpwstr>2089;#Restricted:Internal|caa52167-d17e-46dd-9322-12d83d57eefa</vt:lpwstr>
  </property>
  <property fmtid="{D5CDD505-2E9C-101B-9397-08002B2CF9AE}" pid="17" name="edrm_language">
    <vt:lpwstr>2090;#English|f0d96333-3b15-448d-bec3-c97f3b65cb2d</vt:lpwstr>
  </property>
  <property fmtid="{D5CDD505-2E9C-101B-9397-08002B2CF9AE}" pid="18" name="edrm_entity">
    <vt:lpwstr>2091;#Public Health Capacity and Communication Unit|2eba60bf-8184-4cce-9462-e287103fda5c</vt:lpwstr>
  </property>
  <property fmtid="{D5CDD505-2E9C-101B-9397-08002B2CF9AE}" pid="19" name="edrm_institution">
    <vt:lpwstr/>
  </property>
  <property fmtid="{D5CDD505-2E9C-101B-9397-08002B2CF9AE}" pid="20" name="edrm_spatial">
    <vt:lpwstr/>
  </property>
</Properties>
</file>