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5248" w14:textId="77777777" w:rsidR="004F7864" w:rsidRPr="0000109A" w:rsidRDefault="004F7864" w:rsidP="004F7864">
      <w:pPr>
        <w:pStyle w:val="Kop1"/>
        <w:rPr>
          <w:b/>
        </w:rPr>
      </w:pPr>
      <w:r>
        <w:rPr>
          <w:b/>
        </w:rPr>
        <w:t>Workshop</w:t>
      </w:r>
      <w:r w:rsidRPr="0000109A">
        <w:rPr>
          <w:b/>
        </w:rPr>
        <w:t xml:space="preserve"> </w:t>
      </w:r>
      <w:r>
        <w:rPr>
          <w:b/>
        </w:rPr>
        <w:t>case studies – indicators</w:t>
      </w:r>
    </w:p>
    <w:p w14:paraId="2A976CA6" w14:textId="77777777" w:rsidR="004F7864" w:rsidRDefault="004F7864" w:rsidP="004F7864">
      <w:pPr>
        <w:pStyle w:val="Kop2"/>
      </w:pPr>
      <w:r>
        <w:t>S</w:t>
      </w:r>
      <w:r w:rsidRPr="0000109A">
        <w:t>econd ECDC point prevalence survey of healthcare-associated infections and antimicrobial use in acute care hospitals, 2016-2017</w:t>
      </w:r>
    </w:p>
    <w:p w14:paraId="0E2FE3A4" w14:textId="77777777" w:rsidR="004F7864" w:rsidRDefault="004F7864" w:rsidP="004F7864"/>
    <w:p w14:paraId="5E3CBB0E" w14:textId="77777777" w:rsidR="004F7864" w:rsidRPr="004E314A" w:rsidRDefault="00B40E4C" w:rsidP="004F7864">
      <w:pPr>
        <w:rPr>
          <w:b/>
          <w:color w:val="FF0000"/>
        </w:rPr>
      </w:pPr>
      <w:r>
        <w:rPr>
          <w:b/>
        </w:rPr>
        <w:t>Indicator c</w:t>
      </w:r>
      <w:r w:rsidR="004F7864" w:rsidRPr="004F7864">
        <w:rPr>
          <w:b/>
        </w:rPr>
        <w:t>ase 1</w:t>
      </w:r>
      <w:r w:rsidR="004E314A">
        <w:rPr>
          <w:b/>
        </w:rPr>
        <w:t xml:space="preserve"> – </w:t>
      </w:r>
      <w:r w:rsidR="004E314A">
        <w:rPr>
          <w:b/>
          <w:color w:val="FF0000"/>
        </w:rPr>
        <w:t xml:space="preserve">Case objective: address the indicator for infection control and antimicrobial stewardship FTEs </w:t>
      </w:r>
    </w:p>
    <w:p w14:paraId="5AE0F5EE" w14:textId="77777777" w:rsidR="004F7864" w:rsidRDefault="004F7864">
      <w:r>
        <w:t>In a secondary care hospital of 190 beds a physician with interest in infectious diseases is responsible for infection control, according to a decision by the clinical director. The physician perfor</w:t>
      </w:r>
      <w:r w:rsidR="004E314A">
        <w:t>ms infection control tasks for 4</w:t>
      </w:r>
      <w:r>
        <w:t xml:space="preserve"> out of 8 hours of her daily worktime on average</w:t>
      </w:r>
      <w:r w:rsidR="004E314A">
        <w:t>, in addition to other clinical duties</w:t>
      </w:r>
      <w:r>
        <w:t xml:space="preserve">. </w:t>
      </w:r>
      <w:r w:rsidR="0052715F" w:rsidRPr="0052715F">
        <w:t>There is one full-time infection control nurse.</w:t>
      </w:r>
      <w:r w:rsidR="0052715F">
        <w:t xml:space="preserve"> </w:t>
      </w:r>
      <w:r>
        <w:t>In addition</w:t>
      </w:r>
      <w:r w:rsidR="0005066B">
        <w:t>,</w:t>
      </w:r>
      <w:r>
        <w:t xml:space="preserve"> the physician reviews antimicrobial treatment on the surgical ward and the </w:t>
      </w:r>
      <w:r w:rsidR="0005066B">
        <w:t>intensive care unit (</w:t>
      </w:r>
      <w:r>
        <w:t>ICU</w:t>
      </w:r>
      <w:r w:rsidR="000D129E">
        <w:t xml:space="preserve">) </w:t>
      </w:r>
      <w:r>
        <w:t xml:space="preserve">on Tuesdays and Thursdays 10:00-12:00. The antimicrobial review task is not included in the job description or the decision of the clinical director. </w:t>
      </w:r>
    </w:p>
    <w:p w14:paraId="0347903E" w14:textId="77777777" w:rsidR="004F7864" w:rsidRDefault="004F7864">
      <w:pPr>
        <w:rPr>
          <w:i/>
        </w:rPr>
      </w:pPr>
    </w:p>
    <w:p w14:paraId="6B7559C3" w14:textId="77777777" w:rsidR="004F7864" w:rsidRPr="00B40E4C" w:rsidRDefault="00B40E4C">
      <w:pPr>
        <w:rPr>
          <w:b/>
          <w:i/>
        </w:rPr>
      </w:pPr>
      <w:r w:rsidRPr="00B40E4C">
        <w:rPr>
          <w:b/>
          <w:i/>
        </w:rPr>
        <w:t xml:space="preserve">Use </w:t>
      </w:r>
      <w:r w:rsidR="004F7864" w:rsidRPr="00B40E4C">
        <w:rPr>
          <w:b/>
          <w:i/>
        </w:rPr>
        <w:t>Form H1: Hospital data</w:t>
      </w:r>
    </w:p>
    <w:p w14:paraId="10017360" w14:textId="673B571B" w:rsidR="004F7864" w:rsidRDefault="004F7864">
      <w:pPr>
        <w:rPr>
          <w:i/>
        </w:rPr>
      </w:pPr>
      <w:r w:rsidRPr="000224AB">
        <w:rPr>
          <w:i/>
        </w:rPr>
        <w:t xml:space="preserve">How many </w:t>
      </w:r>
      <w:r w:rsidR="0067777A">
        <w:rPr>
          <w:i/>
        </w:rPr>
        <w:t>f</w:t>
      </w:r>
      <w:r w:rsidRPr="000224AB">
        <w:rPr>
          <w:i/>
        </w:rPr>
        <w:t>ull</w:t>
      </w:r>
      <w:r w:rsidR="0026716F">
        <w:rPr>
          <w:i/>
        </w:rPr>
        <w:t>-</w:t>
      </w:r>
      <w:r w:rsidR="0067777A">
        <w:rPr>
          <w:i/>
        </w:rPr>
        <w:t>t</w:t>
      </w:r>
      <w:r w:rsidRPr="000224AB">
        <w:rPr>
          <w:i/>
        </w:rPr>
        <w:t xml:space="preserve">ime </w:t>
      </w:r>
      <w:r w:rsidR="0067777A">
        <w:rPr>
          <w:i/>
        </w:rPr>
        <w:t>e</w:t>
      </w:r>
      <w:r w:rsidRPr="000224AB">
        <w:rPr>
          <w:i/>
        </w:rPr>
        <w:t>quivalents (FTEs) are dedicated to infection control</w:t>
      </w:r>
      <w:r>
        <w:rPr>
          <w:i/>
        </w:rPr>
        <w:t>?</w:t>
      </w:r>
      <w:r w:rsidR="004E314A">
        <w:rPr>
          <w:i/>
        </w:rPr>
        <w:t xml:space="preserve"> </w:t>
      </w:r>
    </w:p>
    <w:p w14:paraId="22B3D2B7" w14:textId="77777777" w:rsidR="004E314A" w:rsidRPr="00697BF9" w:rsidRDefault="004E314A">
      <w:pPr>
        <w:rPr>
          <w:color w:val="FF0000"/>
        </w:rPr>
      </w:pPr>
      <w:r w:rsidRPr="00697BF9">
        <w:rPr>
          <w:b/>
          <w:color w:val="FF0000"/>
        </w:rPr>
        <w:t>Answer:</w:t>
      </w:r>
      <w:r w:rsidRPr="00697BF9">
        <w:rPr>
          <w:color w:val="FF0000"/>
        </w:rPr>
        <w:t xml:space="preserve"> </w:t>
      </w:r>
      <w:r w:rsidR="0052715F">
        <w:rPr>
          <w:color w:val="FF0000"/>
        </w:rPr>
        <w:t>1</w:t>
      </w:r>
      <w:r w:rsidR="00C06C78">
        <w:rPr>
          <w:color w:val="FF0000"/>
        </w:rPr>
        <w:t xml:space="preserve"> 1/2</w:t>
      </w:r>
    </w:p>
    <w:p w14:paraId="67A769BB" w14:textId="77777777" w:rsidR="00B40E4C" w:rsidRDefault="004F7864">
      <w:pPr>
        <w:rPr>
          <w:i/>
        </w:rPr>
      </w:pPr>
      <w:r>
        <w:rPr>
          <w:i/>
        </w:rPr>
        <w:t>H</w:t>
      </w:r>
      <w:r w:rsidRPr="000224AB">
        <w:rPr>
          <w:i/>
        </w:rPr>
        <w:t xml:space="preserve">ow many </w:t>
      </w:r>
      <w:r>
        <w:rPr>
          <w:i/>
        </w:rPr>
        <w:t>FTEs</w:t>
      </w:r>
      <w:r w:rsidRPr="000224AB">
        <w:rPr>
          <w:i/>
        </w:rPr>
        <w:t xml:space="preserve"> </w:t>
      </w:r>
      <w:r>
        <w:rPr>
          <w:i/>
        </w:rPr>
        <w:t xml:space="preserve">are dedicated </w:t>
      </w:r>
      <w:r w:rsidRPr="000224AB">
        <w:rPr>
          <w:i/>
        </w:rPr>
        <w:t>to antimicrobial stewardship in this hospital?</w:t>
      </w:r>
    </w:p>
    <w:p w14:paraId="1C900E11" w14:textId="77777777" w:rsidR="004E314A" w:rsidRPr="00697BF9" w:rsidRDefault="004E314A" w:rsidP="004E314A">
      <w:pPr>
        <w:rPr>
          <w:color w:val="FF0000"/>
        </w:rPr>
      </w:pPr>
      <w:r w:rsidRPr="00697BF9">
        <w:rPr>
          <w:b/>
          <w:color w:val="FF0000"/>
        </w:rPr>
        <w:t>Answer:</w:t>
      </w:r>
      <w:r w:rsidRPr="00697BF9">
        <w:rPr>
          <w:color w:val="FF0000"/>
        </w:rPr>
        <w:t xml:space="preserve"> 0 </w:t>
      </w:r>
    </w:p>
    <w:p w14:paraId="5D786190" w14:textId="77777777" w:rsidR="00B40E4C" w:rsidRDefault="00B40E4C" w:rsidP="00B40E4C">
      <w:r>
        <w:br w:type="page"/>
      </w:r>
    </w:p>
    <w:p w14:paraId="6E43C4C6" w14:textId="77777777" w:rsidR="00B40E4C" w:rsidRPr="004E314A" w:rsidRDefault="00B40E4C">
      <w:r>
        <w:rPr>
          <w:b/>
        </w:rPr>
        <w:lastRenderedPageBreak/>
        <w:t>Indicator case 2</w:t>
      </w:r>
      <w:r w:rsidR="004E314A" w:rsidRPr="004E314A">
        <w:rPr>
          <w:b/>
          <w:color w:val="FF0000"/>
        </w:rPr>
        <w:t xml:space="preserve"> </w:t>
      </w:r>
      <w:r w:rsidR="004E314A">
        <w:rPr>
          <w:b/>
          <w:color w:val="FF0000"/>
        </w:rPr>
        <w:t xml:space="preserve">- </w:t>
      </w:r>
      <w:r w:rsidR="004E314A" w:rsidRPr="004E314A">
        <w:rPr>
          <w:color w:val="FF0000"/>
        </w:rPr>
        <w:t xml:space="preserve">Case objective: address the indicator for </w:t>
      </w:r>
      <w:r w:rsidR="004E314A">
        <w:rPr>
          <w:color w:val="FF0000"/>
        </w:rPr>
        <w:t>multimodal strategy for the prevention of HAIs</w:t>
      </w:r>
    </w:p>
    <w:p w14:paraId="38E0DC9C" w14:textId="77777777" w:rsidR="001A4137" w:rsidRDefault="001A4137" w:rsidP="001A4137">
      <w:r>
        <w:t>A 450-bed acute care hospital has established an infection control programme. The programme includes surveillance of central line-associated infections (CLABSI) and ventilator-associated pneumonia (VAP) in the ICU</w:t>
      </w:r>
      <w:r w:rsidRPr="00F904D0">
        <w:t xml:space="preserve"> </w:t>
      </w:r>
      <w:r>
        <w:t xml:space="preserve">and surveillance of surgical site infections. </w:t>
      </w:r>
      <w:r w:rsidRPr="008800E6">
        <w:t xml:space="preserve">Guidelines for prevention of CLABSI and </w:t>
      </w:r>
      <w:r>
        <w:t>V</w:t>
      </w:r>
      <w:r w:rsidRPr="008800E6">
        <w:t xml:space="preserve">AP in the ICU were introduced recently, with care bundles to support implementation of the available guidelines. All newcomer healthcare staff undergo half-day training and there are checklists for the implementation of the guidelines. The results of surveillance are posted monthly on the notice </w:t>
      </w:r>
      <w:r>
        <w:t>board</w:t>
      </w:r>
      <w:r w:rsidRPr="008800E6">
        <w:t xml:space="preserve">. </w:t>
      </w:r>
      <w:r>
        <w:t xml:space="preserve">On the surgical ward, a printed guideline for perioperative antibiotic prophylaxis is available in card format for all surgeons. Surveillance results are presented in quarterly meetings. </w:t>
      </w:r>
    </w:p>
    <w:p w14:paraId="257C301B" w14:textId="77777777" w:rsidR="00B40E4C" w:rsidRDefault="00B40E4C" w:rsidP="00B40E4C"/>
    <w:p w14:paraId="284E30B6" w14:textId="77777777" w:rsidR="00205421" w:rsidRPr="00205421" w:rsidRDefault="00205421" w:rsidP="00B40E4C">
      <w:pPr>
        <w:rPr>
          <w:b/>
          <w:i/>
        </w:rPr>
      </w:pPr>
      <w:r>
        <w:rPr>
          <w:b/>
          <w:i/>
        </w:rPr>
        <w:t>Use Form H2: Hospital data</w:t>
      </w:r>
    </w:p>
    <w:p w14:paraId="5AAF72BC" w14:textId="77777777" w:rsidR="00B40E4C" w:rsidRPr="00272E44" w:rsidRDefault="00B40E4C" w:rsidP="00B40E4C">
      <w:r>
        <w:t xml:space="preserve">Q: </w:t>
      </w:r>
      <w:r w:rsidRPr="00B40E4C">
        <w:rPr>
          <w:i/>
        </w:rPr>
        <w:t xml:space="preserve">Does your hospital have a </w:t>
      </w:r>
      <w:r w:rsidRPr="00B40E4C">
        <w:rPr>
          <w:b/>
          <w:bCs/>
          <w:i/>
        </w:rPr>
        <w:t xml:space="preserve">multimodal strategy </w:t>
      </w:r>
      <w:r w:rsidRPr="00B40E4C">
        <w:rPr>
          <w:i/>
        </w:rPr>
        <w:t>for the prevention of following infections (see table)?</w:t>
      </w:r>
    </w:p>
    <w:tbl>
      <w:tblPr>
        <w:tblW w:w="7520" w:type="dxa"/>
        <w:tblCellMar>
          <w:left w:w="0" w:type="dxa"/>
          <w:right w:w="0" w:type="dxa"/>
        </w:tblCellMar>
        <w:tblLook w:val="04A0" w:firstRow="1" w:lastRow="0" w:firstColumn="1" w:lastColumn="0" w:noHBand="0" w:noVBand="1"/>
      </w:tblPr>
      <w:tblGrid>
        <w:gridCol w:w="2448"/>
        <w:gridCol w:w="740"/>
        <w:gridCol w:w="738"/>
        <w:gridCol w:w="740"/>
        <w:gridCol w:w="634"/>
        <w:gridCol w:w="740"/>
        <w:gridCol w:w="740"/>
        <w:gridCol w:w="740"/>
      </w:tblGrid>
      <w:tr w:rsidR="00451220" w:rsidRPr="008800E6" w14:paraId="4877D215" w14:textId="77777777" w:rsidTr="005170C9">
        <w:trPr>
          <w:trHeight w:val="1770"/>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17D16E1E"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14:paraId="587A23E1" w14:textId="77777777" w:rsidR="00451220" w:rsidRPr="008800E6" w:rsidRDefault="00451220" w:rsidP="005170C9">
            <w:pPr>
              <w:rPr>
                <w:b/>
              </w:rPr>
            </w:pPr>
            <w:r w:rsidRPr="008800E6">
              <w:rPr>
                <w:b/>
              </w:rPr>
              <w:t>Guideline</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14:paraId="60BF444E" w14:textId="77777777" w:rsidR="00451220" w:rsidRPr="008800E6" w:rsidRDefault="00451220" w:rsidP="005170C9">
            <w:pPr>
              <w:rPr>
                <w:b/>
              </w:rPr>
            </w:pPr>
            <w:r w:rsidRPr="008800E6">
              <w:rPr>
                <w:b/>
              </w:rPr>
              <w:t>Care bundle</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14:paraId="24AC4ED0" w14:textId="77777777" w:rsidR="00451220" w:rsidRPr="008800E6" w:rsidRDefault="00451220" w:rsidP="005170C9">
            <w:pPr>
              <w:rPr>
                <w:b/>
              </w:rPr>
            </w:pPr>
            <w:r w:rsidRPr="008800E6">
              <w:rPr>
                <w:b/>
              </w:rPr>
              <w:t>Training</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14:paraId="01583950" w14:textId="77777777" w:rsidR="00451220" w:rsidRPr="008800E6" w:rsidRDefault="00451220" w:rsidP="005170C9">
            <w:pPr>
              <w:rPr>
                <w:b/>
              </w:rPr>
            </w:pPr>
            <w:r w:rsidRPr="008800E6">
              <w:rPr>
                <w:b/>
              </w:rPr>
              <w:t>Checklist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14:paraId="309B6AEF" w14:textId="77777777" w:rsidR="00451220" w:rsidRPr="008800E6" w:rsidRDefault="00451220" w:rsidP="005170C9">
            <w:pPr>
              <w:rPr>
                <w:b/>
              </w:rPr>
            </w:pPr>
            <w:r w:rsidRPr="008800E6">
              <w:rPr>
                <w:b/>
              </w:rPr>
              <w:t>Audit</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14:paraId="5562277E" w14:textId="77777777" w:rsidR="00451220" w:rsidRPr="008800E6" w:rsidRDefault="00451220" w:rsidP="005170C9">
            <w:pPr>
              <w:rPr>
                <w:b/>
              </w:rPr>
            </w:pPr>
            <w:r w:rsidRPr="008800E6">
              <w:rPr>
                <w:b/>
              </w:rPr>
              <w:t>Surveillance</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hideMark/>
          </w:tcPr>
          <w:p w14:paraId="3191FBDB" w14:textId="77777777" w:rsidR="00451220" w:rsidRPr="008800E6" w:rsidRDefault="00451220" w:rsidP="005170C9">
            <w:pPr>
              <w:rPr>
                <w:b/>
              </w:rPr>
            </w:pPr>
            <w:r w:rsidRPr="008800E6">
              <w:rPr>
                <w:b/>
              </w:rPr>
              <w:t>Feedback</w:t>
            </w:r>
          </w:p>
        </w:tc>
      </w:tr>
      <w:tr w:rsidR="00451220" w:rsidRPr="008800E6" w14:paraId="57BE6B18" w14:textId="77777777" w:rsidTr="005170C9">
        <w:trPr>
          <w:trHeight w:val="411"/>
        </w:trPr>
        <w:tc>
          <w:tcPr>
            <w:tcW w:w="7520" w:type="dxa"/>
            <w:gridSpan w:val="8"/>
            <w:tcBorders>
              <w:top w:val="single" w:sz="8" w:space="0" w:color="000000"/>
              <w:left w:val="single" w:sz="8" w:space="0" w:color="000000"/>
              <w:bottom w:val="single" w:sz="8" w:space="0" w:color="000000"/>
              <w:right w:val="single" w:sz="8" w:space="0" w:color="000000"/>
            </w:tcBorders>
            <w:shd w:val="clear" w:color="auto" w:fill="EAEAEA"/>
            <w:tcMar>
              <w:top w:w="72" w:type="dxa"/>
              <w:left w:w="72" w:type="dxa"/>
              <w:bottom w:w="72" w:type="dxa"/>
              <w:right w:w="72" w:type="dxa"/>
            </w:tcMar>
            <w:vAlign w:val="center"/>
            <w:hideMark/>
          </w:tcPr>
          <w:p w14:paraId="37C33B15" w14:textId="77777777" w:rsidR="00451220" w:rsidRPr="008800E6" w:rsidRDefault="00451220" w:rsidP="005170C9">
            <w:pPr>
              <w:rPr>
                <w:b/>
              </w:rPr>
            </w:pPr>
            <w:r w:rsidRPr="008800E6">
              <w:rPr>
                <w:b/>
                <w:bCs/>
              </w:rPr>
              <w:t>ICU</w:t>
            </w:r>
          </w:p>
        </w:tc>
      </w:tr>
      <w:tr w:rsidR="00451220" w:rsidRPr="008800E6" w14:paraId="66E93F1F" w14:textId="77777777" w:rsidTr="001A4137">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1F6916" w14:textId="77777777" w:rsidR="00451220" w:rsidRPr="008800E6" w:rsidRDefault="00451220" w:rsidP="005170C9">
            <w:pPr>
              <w:rPr>
                <w:b/>
              </w:rPr>
            </w:pPr>
            <w:r w:rsidRPr="008800E6">
              <w:rPr>
                <w:b/>
              </w:rPr>
              <w:t>Pneumonia</w:t>
            </w: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330F4404" w14:textId="77777777" w:rsidR="00451220" w:rsidRPr="008800E6" w:rsidRDefault="00451220" w:rsidP="001A4137">
            <w:pPr>
              <w:jc w:val="cente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6BB10AD1" w14:textId="77777777" w:rsidR="00451220" w:rsidRPr="008800E6" w:rsidRDefault="00451220" w:rsidP="001A4137">
            <w:pPr>
              <w:jc w:val="cente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01F8EB11" w14:textId="77777777" w:rsidR="00451220" w:rsidRPr="008800E6" w:rsidRDefault="00451220" w:rsidP="001A4137">
            <w:pPr>
              <w:jc w:val="center"/>
              <w:rPr>
                <w:b/>
              </w:rPr>
            </w:pPr>
          </w:p>
        </w:tc>
        <w:tc>
          <w:tcPr>
            <w:tcW w:w="6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15" w:type="dxa"/>
              <w:bottom w:w="0" w:type="dxa"/>
              <w:right w:w="15" w:type="dxa"/>
            </w:tcMar>
            <w:textDirection w:val="btLr"/>
            <w:hideMark/>
          </w:tcPr>
          <w:p w14:paraId="455E9775" w14:textId="77777777" w:rsidR="00451220" w:rsidRPr="008800E6" w:rsidRDefault="00451220" w:rsidP="001A4137">
            <w:pPr>
              <w:jc w:val="cente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58E54AC2"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6F71CA7E"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7B7231B1" w14:textId="77777777" w:rsidR="00451220" w:rsidRPr="008800E6" w:rsidRDefault="00451220" w:rsidP="005170C9">
            <w:pPr>
              <w:rPr>
                <w:b/>
              </w:rPr>
            </w:pPr>
            <w:r w:rsidRPr="008800E6">
              <w:rPr>
                <w:b/>
              </w:rPr>
              <w:t> </w:t>
            </w:r>
          </w:p>
        </w:tc>
      </w:tr>
      <w:tr w:rsidR="00451220" w:rsidRPr="008800E6" w14:paraId="66C23718" w14:textId="77777777" w:rsidTr="001A4137">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2770CA" w14:textId="77777777" w:rsidR="00451220" w:rsidRPr="008800E6" w:rsidRDefault="00451220" w:rsidP="005170C9">
            <w:pPr>
              <w:rPr>
                <w:b/>
              </w:rPr>
            </w:pPr>
            <w:r w:rsidRPr="008800E6">
              <w:rPr>
                <w:b/>
              </w:rPr>
              <w:t>Bloodstream infections</w:t>
            </w: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0D1EB7C6" w14:textId="77777777" w:rsidR="00451220" w:rsidRPr="008800E6" w:rsidRDefault="00451220" w:rsidP="001A4137">
            <w:pPr>
              <w:jc w:val="cente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6E7CD7DB" w14:textId="77777777" w:rsidR="00451220" w:rsidRPr="008800E6" w:rsidRDefault="00451220" w:rsidP="001A4137">
            <w:pPr>
              <w:jc w:val="cente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4671DDDA" w14:textId="77777777" w:rsidR="00451220" w:rsidRPr="008800E6" w:rsidRDefault="00451220" w:rsidP="001A4137">
            <w:pPr>
              <w:jc w:val="center"/>
              <w:rPr>
                <w:b/>
              </w:rPr>
            </w:pPr>
          </w:p>
        </w:tc>
        <w:tc>
          <w:tcPr>
            <w:tcW w:w="6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15" w:type="dxa"/>
              <w:bottom w:w="0" w:type="dxa"/>
              <w:right w:w="15" w:type="dxa"/>
            </w:tcMar>
            <w:textDirection w:val="btLr"/>
            <w:hideMark/>
          </w:tcPr>
          <w:p w14:paraId="1958C040" w14:textId="77777777" w:rsidR="00451220" w:rsidRPr="008800E6" w:rsidRDefault="00451220" w:rsidP="001A4137">
            <w:pPr>
              <w:jc w:val="cente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7CD418BC"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6FC5DB0E"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1471A48B" w14:textId="77777777" w:rsidR="00451220" w:rsidRPr="008800E6" w:rsidRDefault="00451220" w:rsidP="005170C9">
            <w:pPr>
              <w:rPr>
                <w:b/>
              </w:rPr>
            </w:pPr>
            <w:r w:rsidRPr="008800E6">
              <w:rPr>
                <w:b/>
              </w:rPr>
              <w:t> </w:t>
            </w:r>
          </w:p>
        </w:tc>
      </w:tr>
      <w:tr w:rsidR="00451220" w:rsidRPr="008800E6" w14:paraId="00907F2C" w14:textId="77777777" w:rsidTr="005170C9">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C88250" w14:textId="77777777" w:rsidR="00451220" w:rsidRPr="008800E6" w:rsidRDefault="00451220" w:rsidP="005170C9">
            <w:pPr>
              <w:rPr>
                <w:b/>
              </w:rPr>
            </w:pPr>
            <w:r w:rsidRPr="008800E6">
              <w:rPr>
                <w:b/>
              </w:rPr>
              <w:t>Urinary tract infections</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7E3C14CB"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61F6B8DD"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511EDFB5" w14:textId="77777777" w:rsidR="00451220" w:rsidRPr="008800E6" w:rsidRDefault="00451220" w:rsidP="005170C9">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hideMark/>
          </w:tcPr>
          <w:p w14:paraId="28791266"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47C39F42"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36C17667"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36E81593" w14:textId="77777777" w:rsidR="00451220" w:rsidRPr="008800E6" w:rsidRDefault="00451220" w:rsidP="005170C9">
            <w:pPr>
              <w:rPr>
                <w:b/>
              </w:rPr>
            </w:pPr>
            <w:r w:rsidRPr="008800E6">
              <w:rPr>
                <w:b/>
              </w:rPr>
              <w:t> </w:t>
            </w:r>
          </w:p>
        </w:tc>
      </w:tr>
      <w:tr w:rsidR="00451220" w:rsidRPr="008800E6" w14:paraId="2F038C55" w14:textId="77777777" w:rsidTr="005170C9">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6B7B7F" w14:textId="77777777" w:rsidR="00451220" w:rsidRPr="008800E6" w:rsidRDefault="00451220" w:rsidP="005170C9">
            <w:pPr>
              <w:rPr>
                <w:b/>
              </w:rPr>
            </w:pPr>
            <w:r w:rsidRPr="008800E6">
              <w:rPr>
                <w:b/>
              </w:rPr>
              <w:t>Antimicrobial use</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306DA00A"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78A169F5"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636AE366" w14:textId="77777777" w:rsidR="00451220" w:rsidRPr="008800E6" w:rsidRDefault="00451220" w:rsidP="005170C9">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hideMark/>
          </w:tcPr>
          <w:p w14:paraId="16A2A297"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784428DC"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69E06DFD"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61E87CAB" w14:textId="77777777" w:rsidR="00451220" w:rsidRPr="008800E6" w:rsidRDefault="00451220" w:rsidP="005170C9">
            <w:pPr>
              <w:rPr>
                <w:b/>
              </w:rPr>
            </w:pPr>
            <w:r w:rsidRPr="008800E6">
              <w:rPr>
                <w:b/>
              </w:rPr>
              <w:t> </w:t>
            </w:r>
          </w:p>
        </w:tc>
      </w:tr>
      <w:tr w:rsidR="00451220" w:rsidRPr="008800E6" w14:paraId="376A81BB" w14:textId="77777777" w:rsidTr="005170C9">
        <w:trPr>
          <w:trHeight w:val="411"/>
        </w:trPr>
        <w:tc>
          <w:tcPr>
            <w:tcW w:w="7520" w:type="dxa"/>
            <w:gridSpan w:val="8"/>
            <w:tcBorders>
              <w:top w:val="single" w:sz="8" w:space="0" w:color="000000"/>
              <w:left w:val="single" w:sz="8" w:space="0" w:color="000000"/>
              <w:bottom w:val="single" w:sz="8" w:space="0" w:color="000000"/>
              <w:right w:val="single" w:sz="8" w:space="0" w:color="000000"/>
            </w:tcBorders>
            <w:shd w:val="clear" w:color="auto" w:fill="EAEAEA"/>
            <w:tcMar>
              <w:top w:w="15" w:type="dxa"/>
              <w:left w:w="15" w:type="dxa"/>
              <w:bottom w:w="0" w:type="dxa"/>
              <w:right w:w="15" w:type="dxa"/>
            </w:tcMar>
            <w:vAlign w:val="bottom"/>
            <w:hideMark/>
          </w:tcPr>
          <w:p w14:paraId="362B550C" w14:textId="77777777" w:rsidR="00451220" w:rsidRPr="008800E6" w:rsidRDefault="00451220" w:rsidP="005170C9">
            <w:pPr>
              <w:rPr>
                <w:b/>
              </w:rPr>
            </w:pPr>
            <w:r w:rsidRPr="008800E6">
              <w:rPr>
                <w:b/>
              </w:rPr>
              <w:t>Hospital-wide / other wards</w:t>
            </w:r>
          </w:p>
        </w:tc>
      </w:tr>
      <w:tr w:rsidR="00451220" w:rsidRPr="008800E6" w14:paraId="542F31BE" w14:textId="77777777" w:rsidTr="005170C9">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FFAAA5" w14:textId="77777777" w:rsidR="00451220" w:rsidRPr="008800E6" w:rsidRDefault="00451220" w:rsidP="005170C9">
            <w:pPr>
              <w:rPr>
                <w:b/>
              </w:rPr>
            </w:pPr>
            <w:r w:rsidRPr="008800E6">
              <w:rPr>
                <w:b/>
              </w:rPr>
              <w:t>Pneumonia</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6A4228E5"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0727D8CC"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1EB4CA66" w14:textId="77777777" w:rsidR="00451220" w:rsidRPr="008800E6" w:rsidRDefault="00451220" w:rsidP="005170C9">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hideMark/>
          </w:tcPr>
          <w:p w14:paraId="18C57F0D"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6BA7E0F3"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226DB234"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655A4C54" w14:textId="77777777" w:rsidR="00451220" w:rsidRPr="008800E6" w:rsidRDefault="00451220" w:rsidP="005170C9">
            <w:pPr>
              <w:rPr>
                <w:b/>
              </w:rPr>
            </w:pPr>
            <w:r w:rsidRPr="008800E6">
              <w:rPr>
                <w:b/>
              </w:rPr>
              <w:t> </w:t>
            </w:r>
          </w:p>
        </w:tc>
      </w:tr>
      <w:tr w:rsidR="00451220" w:rsidRPr="008800E6" w14:paraId="1E9B904E" w14:textId="77777777" w:rsidTr="005170C9">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943033" w14:textId="77777777" w:rsidR="00451220" w:rsidRPr="008800E6" w:rsidRDefault="00451220" w:rsidP="005170C9">
            <w:pPr>
              <w:rPr>
                <w:b/>
              </w:rPr>
            </w:pPr>
            <w:r w:rsidRPr="008800E6">
              <w:rPr>
                <w:b/>
              </w:rPr>
              <w:t>Bloodstream infections</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1D09D6C4"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1D80E68F"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7519CF1E" w14:textId="77777777" w:rsidR="00451220" w:rsidRPr="008800E6" w:rsidRDefault="00451220" w:rsidP="005170C9">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hideMark/>
          </w:tcPr>
          <w:p w14:paraId="7A2BA390"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772EBA47"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56AD3672"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4E0E889B" w14:textId="77777777" w:rsidR="00451220" w:rsidRPr="008800E6" w:rsidRDefault="00451220" w:rsidP="005170C9">
            <w:pPr>
              <w:rPr>
                <w:b/>
              </w:rPr>
            </w:pPr>
            <w:r w:rsidRPr="008800E6">
              <w:rPr>
                <w:b/>
              </w:rPr>
              <w:t> </w:t>
            </w:r>
          </w:p>
        </w:tc>
      </w:tr>
      <w:tr w:rsidR="00451220" w:rsidRPr="008800E6" w14:paraId="646532E5" w14:textId="77777777" w:rsidTr="001A4137">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FBCCB0" w14:textId="77777777" w:rsidR="00451220" w:rsidRPr="008800E6" w:rsidRDefault="00451220" w:rsidP="005170C9">
            <w:pPr>
              <w:rPr>
                <w:b/>
              </w:rPr>
            </w:pPr>
            <w:r w:rsidRPr="008800E6">
              <w:rPr>
                <w:b/>
              </w:rPr>
              <w:t>Surgical site infections</w:t>
            </w: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66E8594C"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7AB69EE2"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4AFA41FB" w14:textId="77777777" w:rsidR="00451220" w:rsidRPr="008800E6" w:rsidRDefault="00451220" w:rsidP="005170C9">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hideMark/>
          </w:tcPr>
          <w:p w14:paraId="7DC21A03"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1A6CF182"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6079CAFC"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5" w:type="dxa"/>
              <w:left w:w="675" w:type="dxa"/>
              <w:bottom w:w="0" w:type="dxa"/>
              <w:right w:w="15" w:type="dxa"/>
            </w:tcMar>
            <w:vAlign w:val="center"/>
            <w:hideMark/>
          </w:tcPr>
          <w:p w14:paraId="3B6D1FAE" w14:textId="77777777" w:rsidR="00451220" w:rsidRPr="008800E6" w:rsidRDefault="00451220" w:rsidP="005170C9">
            <w:pPr>
              <w:rPr>
                <w:b/>
              </w:rPr>
            </w:pPr>
            <w:r w:rsidRPr="008800E6">
              <w:rPr>
                <w:b/>
              </w:rPr>
              <w:t> </w:t>
            </w:r>
          </w:p>
        </w:tc>
      </w:tr>
      <w:tr w:rsidR="00451220" w:rsidRPr="008800E6" w14:paraId="19FDDD17" w14:textId="77777777" w:rsidTr="005170C9">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5E6F7C" w14:textId="77777777" w:rsidR="00451220" w:rsidRPr="008800E6" w:rsidRDefault="00451220" w:rsidP="005170C9">
            <w:pPr>
              <w:rPr>
                <w:b/>
              </w:rPr>
            </w:pPr>
            <w:r w:rsidRPr="008800E6">
              <w:rPr>
                <w:b/>
              </w:rPr>
              <w:t>Urinary tract infections</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56E797ED"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0DBC3B90"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0945BC56" w14:textId="77777777" w:rsidR="00451220" w:rsidRPr="008800E6" w:rsidRDefault="00451220" w:rsidP="005170C9">
            <w:pPr>
              <w:rPr>
                <w:b/>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hideMark/>
          </w:tcPr>
          <w:p w14:paraId="5356EB7C"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4894CF62"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0FE4CC8E"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578810EB" w14:textId="77777777" w:rsidR="00451220" w:rsidRPr="008800E6" w:rsidRDefault="00451220" w:rsidP="005170C9">
            <w:pPr>
              <w:rPr>
                <w:b/>
              </w:rPr>
            </w:pPr>
          </w:p>
        </w:tc>
      </w:tr>
      <w:tr w:rsidR="00451220" w:rsidRPr="008800E6" w14:paraId="04666DE6" w14:textId="77777777" w:rsidTr="005170C9">
        <w:trPr>
          <w:trHeight w:val="41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178D67" w14:textId="77777777" w:rsidR="00451220" w:rsidRPr="008800E6" w:rsidRDefault="00451220" w:rsidP="005170C9">
            <w:pPr>
              <w:rPr>
                <w:b/>
              </w:rPr>
            </w:pPr>
            <w:r w:rsidRPr="008800E6">
              <w:rPr>
                <w:b/>
              </w:rPr>
              <w:t>Antimicrobial use</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11987E4A"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22319681" w14:textId="77777777" w:rsidR="00451220" w:rsidRPr="008800E6" w:rsidRDefault="00451220" w:rsidP="005170C9">
            <w:pPr>
              <w:rPr>
                <w:b/>
              </w:rPr>
            </w:pP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6367A07D" w14:textId="77777777" w:rsidR="00451220" w:rsidRPr="008800E6" w:rsidRDefault="00451220" w:rsidP="005170C9">
            <w:pPr>
              <w:rPr>
                <w:b/>
              </w:rPr>
            </w:pPr>
            <w:r w:rsidRPr="008800E6">
              <w:rPr>
                <w:b/>
              </w:rPr>
              <w:t> </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hideMark/>
          </w:tcPr>
          <w:p w14:paraId="1984BC25"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14329E07"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74E52A10" w14:textId="77777777" w:rsidR="00451220" w:rsidRPr="008800E6" w:rsidRDefault="00451220" w:rsidP="005170C9">
            <w:pPr>
              <w:rPr>
                <w:b/>
              </w:rPr>
            </w:pPr>
            <w:r w:rsidRPr="008800E6">
              <w:rPr>
                <w:b/>
              </w:rPr>
              <w:t> </w:t>
            </w:r>
          </w:p>
        </w:tc>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675" w:type="dxa"/>
              <w:bottom w:w="0" w:type="dxa"/>
              <w:right w:w="15" w:type="dxa"/>
            </w:tcMar>
            <w:vAlign w:val="center"/>
            <w:hideMark/>
          </w:tcPr>
          <w:p w14:paraId="168B9882" w14:textId="77777777" w:rsidR="00451220" w:rsidRPr="008800E6" w:rsidRDefault="00451220" w:rsidP="005170C9">
            <w:pPr>
              <w:rPr>
                <w:b/>
              </w:rPr>
            </w:pPr>
            <w:r w:rsidRPr="008800E6">
              <w:rPr>
                <w:b/>
              </w:rPr>
              <w:t> </w:t>
            </w:r>
          </w:p>
        </w:tc>
      </w:tr>
    </w:tbl>
    <w:p w14:paraId="6892CCA5" w14:textId="77777777" w:rsidR="00205421" w:rsidRDefault="004E314A">
      <w:pPr>
        <w:rPr>
          <w:b/>
        </w:rPr>
      </w:pPr>
      <w:r w:rsidRPr="004E314A">
        <w:rPr>
          <w:b/>
        </w:rPr>
        <w:t xml:space="preserve"> </w:t>
      </w:r>
      <w:r w:rsidR="00205421">
        <w:rPr>
          <w:b/>
        </w:rPr>
        <w:br w:type="page"/>
      </w:r>
    </w:p>
    <w:p w14:paraId="62C1C9B4" w14:textId="77777777" w:rsidR="00205421" w:rsidRDefault="00205421" w:rsidP="00205421">
      <w:pPr>
        <w:rPr>
          <w:b/>
        </w:rPr>
      </w:pPr>
      <w:r>
        <w:rPr>
          <w:b/>
        </w:rPr>
        <w:lastRenderedPageBreak/>
        <w:t>Indicator case 3</w:t>
      </w:r>
      <w:r w:rsidR="00D85899">
        <w:rPr>
          <w:b/>
        </w:rPr>
        <w:t xml:space="preserve"> -</w:t>
      </w:r>
      <w:r w:rsidR="00D85899" w:rsidRPr="00D85899">
        <w:rPr>
          <w:color w:val="FF0000"/>
        </w:rPr>
        <w:t xml:space="preserve"> </w:t>
      </w:r>
      <w:r w:rsidR="00D85899" w:rsidRPr="004E314A">
        <w:rPr>
          <w:color w:val="FF0000"/>
        </w:rPr>
        <w:t xml:space="preserve">Case objective: address the indicator for </w:t>
      </w:r>
      <w:r w:rsidR="00D85899">
        <w:rPr>
          <w:color w:val="FF0000"/>
        </w:rPr>
        <w:t>FTEs registered nurses and nursing assistants in ICU</w:t>
      </w:r>
    </w:p>
    <w:p w14:paraId="3F63F095" w14:textId="77777777" w:rsidR="00205421" w:rsidRDefault="00205421" w:rsidP="00205421">
      <w:r>
        <w:t>The staff of the intensive care unit of a teaching hospital (capacity: 10 beds, 1450 patient</w:t>
      </w:r>
      <w:r w:rsidR="0067777A">
        <w:t>-</w:t>
      </w:r>
      <w:r>
        <w:t xml:space="preserve">days last years) includes 21 registered nurses and 8 </w:t>
      </w:r>
      <w:r w:rsidR="00EC343C">
        <w:t>nurse aides. Three out of the 21</w:t>
      </w:r>
      <w:r>
        <w:t xml:space="preserve"> nurses work 75% while the head nurse does administrative work except from one shift per week when she does clinical work. From September until May four to six student nurses at the graduating year are also practicing on a shift basis. Two of the 21 registered nurses are trainees in ICU but participate in the shift system. The </w:t>
      </w:r>
      <w:r w:rsidR="0067777A">
        <w:t>point prevalence survey (</w:t>
      </w:r>
      <w:r>
        <w:t>PPS</w:t>
      </w:r>
      <w:r w:rsidR="0067777A">
        <w:t>)</w:t>
      </w:r>
      <w:r>
        <w:t xml:space="preserve"> is carried out in March. </w:t>
      </w:r>
    </w:p>
    <w:p w14:paraId="78115712" w14:textId="77777777" w:rsidR="00205421" w:rsidRDefault="00205421" w:rsidP="00205421"/>
    <w:p w14:paraId="4C4650AA" w14:textId="77777777" w:rsidR="00205421" w:rsidRDefault="00205421" w:rsidP="00205421">
      <w:r w:rsidRPr="00205421">
        <w:rPr>
          <w:i/>
        </w:rPr>
        <w:t xml:space="preserve">What is the </w:t>
      </w:r>
      <w:r w:rsidR="0067777A">
        <w:rPr>
          <w:i/>
        </w:rPr>
        <w:t>n</w:t>
      </w:r>
      <w:r w:rsidRPr="00205421">
        <w:rPr>
          <w:i/>
        </w:rPr>
        <w:t>umber of FTE registered nurses in ICU</w:t>
      </w:r>
      <w:r>
        <w:t>?</w:t>
      </w:r>
      <w:r w:rsidR="00EC343C">
        <w:t xml:space="preserve"> </w:t>
      </w:r>
    </w:p>
    <w:p w14:paraId="40915ECD" w14:textId="77777777" w:rsidR="00D85899" w:rsidRDefault="00EC343C" w:rsidP="00205421">
      <w:pPr>
        <w:rPr>
          <w:color w:val="FF0000"/>
        </w:rPr>
      </w:pPr>
      <w:r w:rsidRPr="00697BF9">
        <w:rPr>
          <w:b/>
          <w:color w:val="FF0000"/>
        </w:rPr>
        <w:t>Answer:</w:t>
      </w:r>
      <w:r w:rsidR="00845548">
        <w:rPr>
          <w:color w:val="FF0000"/>
        </w:rPr>
        <w:t xml:space="preserve"> 18</w:t>
      </w:r>
      <w:r>
        <w:rPr>
          <w:color w:val="FF0000"/>
        </w:rPr>
        <w:t xml:space="preserve"> FTEs + 3 *0.75 FTEs </w:t>
      </w:r>
      <w:r w:rsidR="00845548">
        <w:rPr>
          <w:color w:val="FF0000"/>
        </w:rPr>
        <w:t>= 20.25</w:t>
      </w:r>
      <w:r>
        <w:rPr>
          <w:color w:val="FF0000"/>
        </w:rPr>
        <w:t xml:space="preserve"> FTEs</w:t>
      </w:r>
      <w:r w:rsidR="00D85899">
        <w:rPr>
          <w:color w:val="FF0000"/>
        </w:rPr>
        <w:t>. Student nurses are not registered.</w:t>
      </w:r>
    </w:p>
    <w:p w14:paraId="23EEBE88" w14:textId="77777777" w:rsidR="00D85899" w:rsidRDefault="00D85899" w:rsidP="00D85899">
      <w:r w:rsidRPr="00205421">
        <w:rPr>
          <w:i/>
        </w:rPr>
        <w:t xml:space="preserve">What is the </w:t>
      </w:r>
      <w:r w:rsidR="0067777A">
        <w:rPr>
          <w:i/>
        </w:rPr>
        <w:t>n</w:t>
      </w:r>
      <w:r w:rsidRPr="00205421">
        <w:rPr>
          <w:i/>
        </w:rPr>
        <w:t xml:space="preserve">umber of FTE </w:t>
      </w:r>
      <w:r>
        <w:rPr>
          <w:i/>
        </w:rPr>
        <w:t>nursing assistants</w:t>
      </w:r>
      <w:r w:rsidRPr="00205421">
        <w:rPr>
          <w:i/>
        </w:rPr>
        <w:t xml:space="preserve"> in ICU</w:t>
      </w:r>
      <w:r>
        <w:t xml:space="preserve">? </w:t>
      </w:r>
    </w:p>
    <w:p w14:paraId="19103C01" w14:textId="77777777" w:rsidR="00FE2900" w:rsidRDefault="00D85899" w:rsidP="00D85899">
      <w:pPr>
        <w:rPr>
          <w:color w:val="FF0000"/>
        </w:rPr>
      </w:pPr>
      <w:r w:rsidRPr="00697BF9">
        <w:rPr>
          <w:b/>
          <w:color w:val="FF0000"/>
        </w:rPr>
        <w:t>Answer:</w:t>
      </w:r>
      <w:r>
        <w:rPr>
          <w:color w:val="FF0000"/>
        </w:rPr>
        <w:t xml:space="preserve"> 8 FTEs </w:t>
      </w:r>
    </w:p>
    <w:p w14:paraId="1EDAA89D" w14:textId="77777777" w:rsidR="00D85899" w:rsidRPr="00EC343C" w:rsidRDefault="00FE2900" w:rsidP="00205421">
      <w:pPr>
        <w:rPr>
          <w:b/>
          <w:color w:val="FF0000"/>
        </w:rPr>
      </w:pPr>
      <w:r>
        <w:br w:type="page"/>
      </w:r>
    </w:p>
    <w:p w14:paraId="458355FE" w14:textId="77777777" w:rsidR="00C448AC" w:rsidRDefault="00C448AC">
      <w:pPr>
        <w:rPr>
          <w:b/>
        </w:rPr>
      </w:pPr>
      <w:r>
        <w:rPr>
          <w:b/>
        </w:rPr>
        <w:lastRenderedPageBreak/>
        <w:t>Indicator case 4</w:t>
      </w:r>
    </w:p>
    <w:p w14:paraId="5A86CBA3" w14:textId="77777777" w:rsidR="00C448AC" w:rsidRDefault="00C448AC">
      <w:r w:rsidRPr="00C448AC">
        <w:t xml:space="preserve">The ICU of a tertiary care hospital has 25 beds. Each day the antimicrobial treatment of each patient is reviewed by the clinical team together with all other administered medication to assess the need to continue, modify or discontinue. The results from the microbiology laboratory are also reviewed by the clinical team on a daily basis. </w:t>
      </w:r>
    </w:p>
    <w:p w14:paraId="003F084E" w14:textId="77777777" w:rsidR="00C448AC" w:rsidRDefault="00C448AC">
      <w:pPr>
        <w:rPr>
          <w:color w:val="FF0000"/>
        </w:rPr>
      </w:pPr>
      <w:r w:rsidRPr="00C448AC">
        <w:rPr>
          <w:i/>
        </w:rPr>
        <w:t>Is there a formal procedure to review the appropriateness of an antimicrobial within 72 hours from the initial order in this ward (post-prescription review)?</w:t>
      </w:r>
      <w:r>
        <w:t xml:space="preserve"> </w:t>
      </w:r>
    </w:p>
    <w:p w14:paraId="0D2E54E2" w14:textId="77777777" w:rsidR="004F7864" w:rsidRPr="00C448AC" w:rsidRDefault="00C448AC">
      <w:pPr>
        <w:rPr>
          <w:rFonts w:asciiTheme="majorHAnsi" w:eastAsiaTheme="majorEastAsia" w:hAnsiTheme="majorHAnsi" w:cstheme="majorBidi"/>
          <w:i/>
          <w:color w:val="2E74B5" w:themeColor="accent1" w:themeShade="BF"/>
          <w:sz w:val="32"/>
          <w:szCs w:val="32"/>
        </w:rPr>
      </w:pPr>
      <w:r w:rsidRPr="00697BF9">
        <w:rPr>
          <w:b/>
          <w:color w:val="FF0000"/>
        </w:rPr>
        <w:t>Answer:</w:t>
      </w:r>
      <w:r>
        <w:rPr>
          <w:color w:val="FF0000"/>
        </w:rPr>
        <w:t xml:space="preserve"> No. We need a person or team that is responsible for antimicrobial review, other than the treating physicians. This could for example be the pharmacist, a clinical microbiologist etc. </w:t>
      </w:r>
      <w:r w:rsidR="00D556F7">
        <w:rPr>
          <w:color w:val="FF0000"/>
        </w:rPr>
        <w:t>This activity</w:t>
      </w:r>
      <w:r>
        <w:rPr>
          <w:color w:val="FF0000"/>
        </w:rPr>
        <w:t xml:space="preserve"> should also be </w:t>
      </w:r>
      <w:r w:rsidR="00D556F7">
        <w:rPr>
          <w:color w:val="FF0000"/>
        </w:rPr>
        <w:t xml:space="preserve">formal, i.e. </w:t>
      </w:r>
      <w:r>
        <w:rPr>
          <w:color w:val="FF0000"/>
        </w:rPr>
        <w:t>documented and adopted by the management (e.g. hospital director, clinical director or other re</w:t>
      </w:r>
      <w:r w:rsidR="00D556F7">
        <w:rPr>
          <w:color w:val="FF0000"/>
        </w:rPr>
        <w:t>levant level of administration</w:t>
      </w:r>
      <w:r>
        <w:rPr>
          <w:color w:val="FF0000"/>
        </w:rPr>
        <w:t>)</w:t>
      </w:r>
      <w:r w:rsidR="00D556F7">
        <w:rPr>
          <w:color w:val="FF0000"/>
        </w:rPr>
        <w:t xml:space="preserve"> and/or included in the job description(s)</w:t>
      </w:r>
      <w:r>
        <w:rPr>
          <w:color w:val="FF0000"/>
        </w:rPr>
        <w:t>.</w:t>
      </w:r>
      <w:r w:rsidR="004F7864" w:rsidRPr="00C448AC">
        <w:rPr>
          <w:i/>
        </w:rPr>
        <w:br w:type="page"/>
      </w:r>
    </w:p>
    <w:p w14:paraId="457B0C96" w14:textId="77777777" w:rsidR="00F1256E" w:rsidRPr="0000109A" w:rsidRDefault="00F1256E" w:rsidP="00F1256E">
      <w:pPr>
        <w:pStyle w:val="Kop1"/>
        <w:rPr>
          <w:b/>
        </w:rPr>
      </w:pPr>
      <w:r>
        <w:rPr>
          <w:b/>
        </w:rPr>
        <w:lastRenderedPageBreak/>
        <w:t>Workshop</w:t>
      </w:r>
      <w:r w:rsidRPr="0000109A">
        <w:rPr>
          <w:b/>
        </w:rPr>
        <w:t xml:space="preserve"> </w:t>
      </w:r>
      <w:r>
        <w:rPr>
          <w:b/>
        </w:rPr>
        <w:t>case studies</w:t>
      </w:r>
      <w:r w:rsidR="004F7864">
        <w:rPr>
          <w:b/>
        </w:rPr>
        <w:t xml:space="preserve"> – case definitions</w:t>
      </w:r>
    </w:p>
    <w:p w14:paraId="1C9EBE56" w14:textId="77777777" w:rsidR="007D7A76" w:rsidRDefault="00F1256E" w:rsidP="00F1256E">
      <w:pPr>
        <w:pStyle w:val="Kop2"/>
      </w:pPr>
      <w:r>
        <w:t>S</w:t>
      </w:r>
      <w:r w:rsidRPr="0000109A">
        <w:t>econd ECDC point prevalence survey of healthcare-associated infections and antimicrobial use in acute care hospitals, 2016-2017</w:t>
      </w:r>
    </w:p>
    <w:p w14:paraId="10F8AA5C" w14:textId="77777777" w:rsidR="00F1256E" w:rsidRDefault="00F1256E" w:rsidP="00F1256E"/>
    <w:p w14:paraId="2EAC38FB" w14:textId="77777777" w:rsidR="00F1256E" w:rsidRPr="001A1B90" w:rsidRDefault="00F1256E" w:rsidP="00F1256E">
      <w:r w:rsidRPr="001A1B90">
        <w:t>Use the case</w:t>
      </w:r>
      <w:r w:rsidR="004F7864" w:rsidRPr="001A1B90">
        <w:t>s</w:t>
      </w:r>
      <w:r w:rsidRPr="001A1B90">
        <w:t xml:space="preserve"> below to complete the attached case form</w:t>
      </w:r>
      <w:r w:rsidR="001A1B90" w:rsidRPr="001A1B90">
        <w:t xml:space="preserve">. </w:t>
      </w:r>
      <w:r w:rsidR="001A1B90">
        <w:t xml:space="preserve">You will need to refer to the </w:t>
      </w:r>
      <w:r w:rsidRPr="001A1B90">
        <w:t xml:space="preserve">codebook </w:t>
      </w:r>
      <w:r w:rsidR="001A1B90">
        <w:t>to fill</w:t>
      </w:r>
      <w:r w:rsidRPr="001A1B90">
        <w:t xml:space="preserve"> in the form.</w:t>
      </w:r>
    </w:p>
    <w:p w14:paraId="2012B972" w14:textId="77777777" w:rsidR="00F1256E" w:rsidRPr="001A1B90" w:rsidRDefault="00F1256E" w:rsidP="00F1256E">
      <w:r w:rsidRPr="001A1B90">
        <w:t>Use the case number as the patient counter on the form to allow the results to be reviewed and discussed.</w:t>
      </w:r>
    </w:p>
    <w:p w14:paraId="0961101A" w14:textId="77777777" w:rsidR="004F7864" w:rsidRDefault="004F7864" w:rsidP="00F1256E">
      <w:pPr>
        <w:rPr>
          <w:b/>
        </w:rPr>
      </w:pPr>
    </w:p>
    <w:p w14:paraId="6BB36612" w14:textId="77777777" w:rsidR="00F1256E" w:rsidRDefault="00B40E4C" w:rsidP="00F1256E">
      <w:pPr>
        <w:rPr>
          <w:b/>
        </w:rPr>
      </w:pPr>
      <w:r>
        <w:rPr>
          <w:b/>
        </w:rPr>
        <w:t>Clinical c</w:t>
      </w:r>
      <w:r w:rsidR="00F1256E">
        <w:rPr>
          <w:b/>
        </w:rPr>
        <w:t>ase 1:</w:t>
      </w:r>
      <w:r w:rsidR="00B43E9C">
        <w:rPr>
          <w:b/>
        </w:rPr>
        <w:t xml:space="preserve"> </w:t>
      </w:r>
      <w:r w:rsidR="00B43E9C" w:rsidRPr="004E314A">
        <w:rPr>
          <w:color w:val="FF0000"/>
        </w:rPr>
        <w:t xml:space="preserve">Case objective: </w:t>
      </w:r>
      <w:r w:rsidR="00B43E9C">
        <w:rPr>
          <w:color w:val="FF0000"/>
        </w:rPr>
        <w:t>introductory case without HAI treated with antibiotics for community infection</w:t>
      </w:r>
    </w:p>
    <w:p w14:paraId="5FC87253" w14:textId="4E084B0C" w:rsidR="00670B36" w:rsidRDefault="00680FDE" w:rsidP="00680FDE">
      <w:r>
        <w:t xml:space="preserve">Six-year-old girl admitted on 6 April due to profuse </w:t>
      </w:r>
      <w:proofErr w:type="spellStart"/>
      <w:r>
        <w:t>diarrhea</w:t>
      </w:r>
      <w:proofErr w:type="spellEnd"/>
      <w:r>
        <w:t>, abdominal pain and fever up to 40.3</w:t>
      </w:r>
      <w:r>
        <w:sym w:font="Symbol" w:char="F0B0"/>
      </w:r>
      <w:r>
        <w:t xml:space="preserve">C. The girl was initially treated with fluid and electrolyte replacement. </w:t>
      </w:r>
      <w:r>
        <w:rPr>
          <w:i/>
        </w:rPr>
        <w:t>Salmonella typhimurium</w:t>
      </w:r>
      <w:r>
        <w:t xml:space="preserve"> was isolated on 7 April from the stool and blood culture and treatment with cefotaxime 4 x 500mg IV was initiated. On 9 April the patient was afebrile with mild </w:t>
      </w:r>
      <w:proofErr w:type="spellStart"/>
      <w:r>
        <w:t>diarrhea</w:t>
      </w:r>
      <w:proofErr w:type="spellEnd"/>
      <w:r>
        <w:t>. You performed the survey at 13:00.</w:t>
      </w:r>
      <w:r w:rsidR="007F667D">
        <w:t xml:space="preserve"> </w:t>
      </w:r>
      <w:r>
        <w:t>Use Form A/B: Patient-based data</w:t>
      </w:r>
    </w:p>
    <w:p w14:paraId="27D6C082" w14:textId="77777777" w:rsidR="00D85899" w:rsidRPr="00670B36" w:rsidRDefault="00670B36" w:rsidP="00F1256E">
      <w:pPr>
        <w:rPr>
          <w:color w:val="FF0000"/>
        </w:rPr>
      </w:pPr>
      <w:r w:rsidRPr="00670B36">
        <w:rPr>
          <w:color w:val="FF0000"/>
        </w:rPr>
        <w:t>Receives antimicrobial: Yes</w:t>
      </w:r>
    </w:p>
    <w:p w14:paraId="74A3F358" w14:textId="77777777" w:rsidR="00D85899" w:rsidRDefault="00D85899" w:rsidP="00F1256E">
      <w:pPr>
        <w:rPr>
          <w:rFonts w:cs="Tahoma"/>
          <w:color w:val="FF0000"/>
          <w:spacing w:val="-2"/>
          <w:szCs w:val="18"/>
          <w:lang w:eastAsia="nl-NL"/>
        </w:rPr>
      </w:pPr>
      <w:r w:rsidRPr="00D85899">
        <w:rPr>
          <w:color w:val="FF0000"/>
        </w:rPr>
        <w:t>Antibiotic code(s):</w:t>
      </w:r>
      <w:r>
        <w:rPr>
          <w:color w:val="FF0000"/>
        </w:rPr>
        <w:t xml:space="preserve"> </w:t>
      </w:r>
      <w:r w:rsidRPr="00D85899">
        <w:rPr>
          <w:rFonts w:cs="Tahoma"/>
          <w:color w:val="FF0000"/>
          <w:spacing w:val="-2"/>
          <w:szCs w:val="18"/>
          <w:lang w:eastAsia="nl-NL"/>
        </w:rPr>
        <w:t>J01DD01 (cefotaxime)</w:t>
      </w:r>
    </w:p>
    <w:p w14:paraId="50BB790B" w14:textId="77777777" w:rsidR="009842E0" w:rsidRPr="00D85899" w:rsidRDefault="009842E0" w:rsidP="00F1256E">
      <w:pPr>
        <w:rPr>
          <w:color w:val="FF0000"/>
        </w:rPr>
      </w:pPr>
      <w:r>
        <w:rPr>
          <w:color w:val="FF0000"/>
        </w:rPr>
        <w:t>Route: P (parenteral)</w:t>
      </w:r>
    </w:p>
    <w:p w14:paraId="431F816C" w14:textId="77777777" w:rsidR="00670B36" w:rsidRDefault="00670B36" w:rsidP="00670B36">
      <w:pPr>
        <w:rPr>
          <w:color w:val="FF0000"/>
        </w:rPr>
      </w:pPr>
      <w:r w:rsidRPr="00D85899">
        <w:rPr>
          <w:color w:val="FF0000"/>
        </w:rPr>
        <w:t>Indications for antibiotic(s):</w:t>
      </w:r>
      <w:r>
        <w:rPr>
          <w:color w:val="FF0000"/>
        </w:rPr>
        <w:t xml:space="preserve"> CI (community infection)</w:t>
      </w:r>
    </w:p>
    <w:p w14:paraId="2AB4F1B0" w14:textId="6A5BDAC4" w:rsidR="00670B36" w:rsidRDefault="00670B36" w:rsidP="00F1256E">
      <w:pPr>
        <w:rPr>
          <w:color w:val="FF0000"/>
        </w:rPr>
      </w:pPr>
      <w:r>
        <w:rPr>
          <w:color w:val="FF0000"/>
        </w:rPr>
        <w:t xml:space="preserve">Diagnosis </w:t>
      </w:r>
      <w:r w:rsidR="00714E90">
        <w:rPr>
          <w:color w:val="FF0000"/>
        </w:rPr>
        <w:t>(</w:t>
      </w:r>
      <w:r>
        <w:rPr>
          <w:color w:val="FF0000"/>
        </w:rPr>
        <w:t>site</w:t>
      </w:r>
      <w:r w:rsidR="00714E90">
        <w:rPr>
          <w:color w:val="FF0000"/>
        </w:rPr>
        <w:t>)</w:t>
      </w:r>
      <w:r>
        <w:rPr>
          <w:color w:val="FF0000"/>
        </w:rPr>
        <w:t xml:space="preserve"> for antimicrobial use: BAC </w:t>
      </w:r>
    </w:p>
    <w:p w14:paraId="7AA8C487" w14:textId="0601A625" w:rsidR="00931E7F" w:rsidRDefault="00931E7F" w:rsidP="00F1256E">
      <w:pPr>
        <w:rPr>
          <w:color w:val="FF0000"/>
        </w:rPr>
      </w:pPr>
      <w:r>
        <w:rPr>
          <w:color w:val="FF0000"/>
        </w:rPr>
        <w:t>Date start antimicrobial: 7 April</w:t>
      </w:r>
    </w:p>
    <w:p w14:paraId="378855D8" w14:textId="77777777" w:rsidR="009842E0" w:rsidRDefault="009842E0" w:rsidP="00F1256E">
      <w:pPr>
        <w:rPr>
          <w:color w:val="FF0000"/>
        </w:rPr>
      </w:pPr>
      <w:r>
        <w:rPr>
          <w:color w:val="FF0000"/>
        </w:rPr>
        <w:t>Changed? + reason: N (no change)</w:t>
      </w:r>
    </w:p>
    <w:p w14:paraId="04522167" w14:textId="77777777" w:rsidR="00670B36" w:rsidRDefault="009842E0" w:rsidP="00F1256E">
      <w:pPr>
        <w:rPr>
          <w:color w:val="FF0000"/>
        </w:rPr>
      </w:pPr>
      <w:r>
        <w:rPr>
          <w:color w:val="FF0000"/>
        </w:rPr>
        <w:t>Dosage: 4 x 500mg</w:t>
      </w:r>
    </w:p>
    <w:p w14:paraId="5DD82F67" w14:textId="77777777" w:rsidR="00670B36" w:rsidRPr="00D85899" w:rsidRDefault="00670B36" w:rsidP="00670B36">
      <w:pPr>
        <w:rPr>
          <w:color w:val="FF0000"/>
        </w:rPr>
      </w:pPr>
      <w:r w:rsidRPr="00D85899">
        <w:rPr>
          <w:color w:val="FF0000"/>
        </w:rPr>
        <w:t>Active HAI:</w:t>
      </w:r>
      <w:r>
        <w:rPr>
          <w:color w:val="FF0000"/>
        </w:rPr>
        <w:t xml:space="preserve"> No</w:t>
      </w:r>
    </w:p>
    <w:p w14:paraId="499F6B18" w14:textId="77777777" w:rsidR="00F1256E" w:rsidRDefault="00F1256E" w:rsidP="00F1256E">
      <w:r>
        <w:br w:type="page"/>
      </w:r>
    </w:p>
    <w:p w14:paraId="03DC480C" w14:textId="77777777" w:rsidR="00F1256E" w:rsidRPr="00B43E9C" w:rsidRDefault="00B40E4C" w:rsidP="00F1256E">
      <w:pPr>
        <w:rPr>
          <w:b/>
        </w:rPr>
      </w:pPr>
      <w:r>
        <w:rPr>
          <w:b/>
        </w:rPr>
        <w:lastRenderedPageBreak/>
        <w:t>Clinical c</w:t>
      </w:r>
      <w:r w:rsidR="00F1256E" w:rsidRPr="00F1256E">
        <w:rPr>
          <w:b/>
        </w:rPr>
        <w:t>ase 2</w:t>
      </w:r>
      <w:r w:rsidR="00B43E9C" w:rsidRPr="00B43E9C">
        <w:rPr>
          <w:color w:val="FF0000"/>
        </w:rPr>
        <w:t xml:space="preserve"> </w:t>
      </w:r>
      <w:r w:rsidR="00B43E9C" w:rsidRPr="004E314A">
        <w:rPr>
          <w:color w:val="FF0000"/>
        </w:rPr>
        <w:t xml:space="preserve">Case objective: </w:t>
      </w:r>
      <w:r w:rsidR="00B43E9C">
        <w:rPr>
          <w:color w:val="FF0000"/>
        </w:rPr>
        <w:t xml:space="preserve">address common pneumonia types and </w:t>
      </w:r>
      <w:r w:rsidR="00A27E3B">
        <w:rPr>
          <w:color w:val="FF0000"/>
        </w:rPr>
        <w:t>resistance coding</w:t>
      </w:r>
    </w:p>
    <w:p w14:paraId="75C9A109" w14:textId="6A898E95" w:rsidR="00D85899" w:rsidRDefault="00680FDE" w:rsidP="004951D9">
      <w:r>
        <w:t>68-year-old female is admitted on 15 March comatose with severe stroke. A peripheral venous and urinary catheter are inserted. She has low grade fever up to 37.7</w:t>
      </w:r>
      <w:r>
        <w:sym w:font="Symbol" w:char="F0B0"/>
      </w:r>
      <w:r>
        <w:t>C and the white blood cell (WBC) count on admission is 14,000 cells/mcl. Her condition remains serious but stable until 24 March, when she presents with fever 39.0</w:t>
      </w:r>
      <w:r>
        <w:sym w:font="Symbol" w:char="F0B0"/>
      </w:r>
      <w:r>
        <w:t>C, tachypnoea, cough and sputum production. The chest x-ray shows an infiltrate at the right middle lobe. WBC is 19,000 cells/mcl. Blood, urine and bronchial secretions are sent for culture and treatment with ampicillin/sulbactam 4 x 3g is initiated. A diagnosis of aspiration pneumonia is recorded in the notes. Fever persists at 38.4</w:t>
      </w:r>
      <w:r>
        <w:sym w:font="Symbol" w:char="F0B0"/>
      </w:r>
      <w:r>
        <w:t xml:space="preserve">C on 25 March. On 26 March, growth of </w:t>
      </w:r>
      <w:r>
        <w:rPr>
          <w:i/>
          <w:iCs/>
        </w:rPr>
        <w:t>Klebsiella pneumonia</w:t>
      </w:r>
      <w:r>
        <w:t xml:space="preserve"> resistant to ceftriaxone and ampicillin/sulbactam and susceptible to meropenem is reported in the bronchial secretions and ampicillin/sulbactam is replaced by meropenem 3 x 2g IV. On 27 March, you perform the PPS.</w:t>
      </w:r>
      <w:r w:rsidR="00CB7585">
        <w:t xml:space="preserve"> </w:t>
      </w:r>
      <w:r>
        <w:t>Use Form A/B: Patient</w:t>
      </w:r>
      <w:r w:rsidR="009D51C7">
        <w:t>-</w:t>
      </w:r>
      <w:r>
        <w:t xml:space="preserve">based data </w:t>
      </w:r>
    </w:p>
    <w:p w14:paraId="5333C1A4" w14:textId="77777777" w:rsidR="00BB1EEB" w:rsidRDefault="00BB1EEB" w:rsidP="004951D9">
      <w:pPr>
        <w:rPr>
          <w:color w:val="FF0000"/>
        </w:rPr>
      </w:pPr>
      <w:r w:rsidRPr="00BB1EEB">
        <w:rPr>
          <w:color w:val="FF0000"/>
        </w:rPr>
        <w:t>Receives antimicrobial: Yes</w:t>
      </w:r>
    </w:p>
    <w:p w14:paraId="039895A9" w14:textId="77777777" w:rsidR="00BB1EEB" w:rsidRDefault="00BB1EEB" w:rsidP="00BB1EEB">
      <w:pPr>
        <w:rPr>
          <w:color w:val="FF0000"/>
        </w:rPr>
      </w:pPr>
      <w:r w:rsidRPr="00D85899">
        <w:rPr>
          <w:color w:val="FF0000"/>
        </w:rPr>
        <w:t>Antibiotic code(s):</w:t>
      </w:r>
      <w:r>
        <w:rPr>
          <w:color w:val="FF0000"/>
        </w:rPr>
        <w:t xml:space="preserve"> </w:t>
      </w:r>
      <w:r w:rsidRPr="004158D8">
        <w:rPr>
          <w:color w:val="FF0000"/>
        </w:rPr>
        <w:t>J01DH02</w:t>
      </w:r>
      <w:r>
        <w:rPr>
          <w:color w:val="FF0000"/>
        </w:rPr>
        <w:t xml:space="preserve"> (meropenem)</w:t>
      </w:r>
    </w:p>
    <w:p w14:paraId="0FB22926" w14:textId="77777777" w:rsidR="00947A41" w:rsidRDefault="00947A41" w:rsidP="00BB1EEB">
      <w:pPr>
        <w:rPr>
          <w:color w:val="FF0000"/>
        </w:rPr>
      </w:pPr>
      <w:r>
        <w:rPr>
          <w:color w:val="FF0000"/>
        </w:rPr>
        <w:t>Route: P (parenteral)</w:t>
      </w:r>
    </w:p>
    <w:p w14:paraId="40E1457C" w14:textId="7EB860E9" w:rsidR="00BB1EEB" w:rsidRDefault="00BB1EEB" w:rsidP="00BB1EEB">
      <w:pPr>
        <w:rPr>
          <w:color w:val="FF0000"/>
        </w:rPr>
      </w:pPr>
      <w:r w:rsidRPr="00D85899">
        <w:rPr>
          <w:color w:val="FF0000"/>
        </w:rPr>
        <w:t>Indications for antibiotic(s):</w:t>
      </w:r>
      <w:r>
        <w:rPr>
          <w:color w:val="FF0000"/>
        </w:rPr>
        <w:t xml:space="preserve"> HI (hospital infection)</w:t>
      </w:r>
    </w:p>
    <w:p w14:paraId="026AC143" w14:textId="1488E529" w:rsidR="001D3CAB" w:rsidRDefault="001D3CAB" w:rsidP="00BB1EEB">
      <w:pPr>
        <w:rPr>
          <w:color w:val="FF0000"/>
        </w:rPr>
      </w:pPr>
      <w:r>
        <w:rPr>
          <w:color w:val="FF0000"/>
        </w:rPr>
        <w:t xml:space="preserve">Diagnosis </w:t>
      </w:r>
      <w:r w:rsidR="00714E90">
        <w:rPr>
          <w:color w:val="FF0000"/>
        </w:rPr>
        <w:t>(</w:t>
      </w:r>
      <w:r>
        <w:rPr>
          <w:color w:val="FF0000"/>
        </w:rPr>
        <w:t>site</w:t>
      </w:r>
      <w:r w:rsidR="00714E90">
        <w:rPr>
          <w:color w:val="FF0000"/>
        </w:rPr>
        <w:t>)</w:t>
      </w:r>
      <w:r>
        <w:rPr>
          <w:color w:val="FF0000"/>
        </w:rPr>
        <w:t xml:space="preserve"> for antimicrobial</w:t>
      </w:r>
      <w:r w:rsidR="00714E90">
        <w:rPr>
          <w:color w:val="FF0000"/>
        </w:rPr>
        <w:t xml:space="preserve"> use</w:t>
      </w:r>
      <w:r>
        <w:rPr>
          <w:color w:val="FF0000"/>
        </w:rPr>
        <w:t>: PNEU</w:t>
      </w:r>
    </w:p>
    <w:p w14:paraId="1D33861B" w14:textId="35F59ADB" w:rsidR="00BB1EEB" w:rsidRDefault="00BB1EEB" w:rsidP="004951D9">
      <w:pPr>
        <w:rPr>
          <w:color w:val="FF0000"/>
        </w:rPr>
      </w:pPr>
      <w:r>
        <w:rPr>
          <w:color w:val="FF0000"/>
        </w:rPr>
        <w:t>Date start antimicrobial: 2</w:t>
      </w:r>
      <w:r w:rsidR="009D51C7">
        <w:rPr>
          <w:color w:val="FF0000"/>
        </w:rPr>
        <w:t>6</w:t>
      </w:r>
      <w:r>
        <w:rPr>
          <w:color w:val="FF0000"/>
        </w:rPr>
        <w:t xml:space="preserve"> March</w:t>
      </w:r>
    </w:p>
    <w:p w14:paraId="7F3E5BBF" w14:textId="5719152F" w:rsidR="009D51C7" w:rsidRDefault="00947A41" w:rsidP="004951D9">
      <w:pPr>
        <w:rPr>
          <w:color w:val="FF0000"/>
        </w:rPr>
      </w:pPr>
      <w:r>
        <w:rPr>
          <w:color w:val="FF0000"/>
        </w:rPr>
        <w:t xml:space="preserve">Changed? + reason: </w:t>
      </w:r>
      <w:r w:rsidR="009D51C7">
        <w:rPr>
          <w:color w:val="FF0000"/>
        </w:rPr>
        <w:t>E</w:t>
      </w:r>
      <w:r>
        <w:rPr>
          <w:color w:val="FF0000"/>
        </w:rPr>
        <w:t xml:space="preserve"> (</w:t>
      </w:r>
      <w:r w:rsidR="009D51C7">
        <w:rPr>
          <w:color w:val="FF0000"/>
        </w:rPr>
        <w:t>escalation</w:t>
      </w:r>
      <w:r>
        <w:rPr>
          <w:color w:val="FF0000"/>
        </w:rPr>
        <w:t>)</w:t>
      </w:r>
    </w:p>
    <w:p w14:paraId="5CAC8E67" w14:textId="5773FE38" w:rsidR="00947A41" w:rsidRDefault="009D51C7" w:rsidP="004951D9">
      <w:pPr>
        <w:rPr>
          <w:color w:val="FF0000"/>
        </w:rPr>
      </w:pPr>
      <w:r>
        <w:rPr>
          <w:color w:val="FF0000"/>
        </w:rPr>
        <w:t>If changed, date start 1</w:t>
      </w:r>
      <w:r w:rsidRPr="009D51C7">
        <w:rPr>
          <w:color w:val="FF0000"/>
          <w:vertAlign w:val="superscript"/>
        </w:rPr>
        <w:t>st</w:t>
      </w:r>
      <w:r>
        <w:rPr>
          <w:color w:val="FF0000"/>
        </w:rPr>
        <w:t xml:space="preserve"> antimicrobial: 24 March</w:t>
      </w:r>
    </w:p>
    <w:p w14:paraId="62DFE207" w14:textId="77777777" w:rsidR="005D7D48" w:rsidRPr="00BB1EEB" w:rsidRDefault="005D7D48" w:rsidP="004951D9">
      <w:pPr>
        <w:rPr>
          <w:color w:val="FF0000"/>
        </w:rPr>
      </w:pPr>
      <w:r>
        <w:rPr>
          <w:color w:val="FF0000"/>
        </w:rPr>
        <w:t>Dosage per day: 3 x 2g</w:t>
      </w:r>
    </w:p>
    <w:p w14:paraId="41EF13DD" w14:textId="77777777" w:rsidR="00D85899" w:rsidRDefault="00D85899" w:rsidP="00D85899">
      <w:pPr>
        <w:rPr>
          <w:color w:val="FF0000"/>
        </w:rPr>
      </w:pPr>
      <w:r w:rsidRPr="00D85899">
        <w:rPr>
          <w:color w:val="FF0000"/>
        </w:rPr>
        <w:t>Active HAI:</w:t>
      </w:r>
      <w:r>
        <w:rPr>
          <w:color w:val="FF0000"/>
        </w:rPr>
        <w:t xml:space="preserve"> Yes</w:t>
      </w:r>
    </w:p>
    <w:p w14:paraId="0BD9DFA7" w14:textId="77777777" w:rsidR="003F7CDF" w:rsidRDefault="003F7CDF" w:rsidP="00D85899">
      <w:pPr>
        <w:rPr>
          <w:color w:val="FF0000"/>
        </w:rPr>
      </w:pPr>
      <w:r>
        <w:rPr>
          <w:color w:val="FF0000"/>
        </w:rPr>
        <w:t>Case definition codes</w:t>
      </w:r>
      <w:r w:rsidRPr="00D85899">
        <w:rPr>
          <w:color w:val="FF0000"/>
        </w:rPr>
        <w:t>:</w:t>
      </w:r>
      <w:r>
        <w:rPr>
          <w:color w:val="FF0000"/>
        </w:rPr>
        <w:t xml:space="preserve"> PN4 (clinical picture, radiology and non-quantitative culture of lower respiratory tract specimen)</w:t>
      </w:r>
    </w:p>
    <w:p w14:paraId="4065BF64" w14:textId="77777777" w:rsidR="00AA2D16" w:rsidRDefault="00AA2D16" w:rsidP="00D85899">
      <w:pPr>
        <w:rPr>
          <w:color w:val="FF0000"/>
        </w:rPr>
      </w:pPr>
      <w:r>
        <w:rPr>
          <w:color w:val="FF0000"/>
        </w:rPr>
        <w:t>Relevant device: No</w:t>
      </w:r>
    </w:p>
    <w:p w14:paraId="1A6C423C" w14:textId="77777777" w:rsidR="004158D8" w:rsidRDefault="004158D8" w:rsidP="00D85899">
      <w:pPr>
        <w:rPr>
          <w:color w:val="FF0000"/>
        </w:rPr>
      </w:pPr>
      <w:r>
        <w:rPr>
          <w:color w:val="FF0000"/>
        </w:rPr>
        <w:t>Present on admission: No</w:t>
      </w:r>
    </w:p>
    <w:p w14:paraId="4635C8A5" w14:textId="77777777" w:rsidR="004158D8" w:rsidRDefault="00227594" w:rsidP="00D85899">
      <w:pPr>
        <w:rPr>
          <w:color w:val="FF0000"/>
        </w:rPr>
      </w:pPr>
      <w:r>
        <w:rPr>
          <w:color w:val="FF0000"/>
        </w:rPr>
        <w:t>Date of onset: 24</w:t>
      </w:r>
      <w:r w:rsidR="004158D8">
        <w:rPr>
          <w:color w:val="FF0000"/>
        </w:rPr>
        <w:t xml:space="preserve"> </w:t>
      </w:r>
      <w:r>
        <w:rPr>
          <w:color w:val="FF0000"/>
        </w:rPr>
        <w:t>March</w:t>
      </w:r>
    </w:p>
    <w:p w14:paraId="185F3B69" w14:textId="77777777" w:rsidR="00AA2D16" w:rsidRDefault="00AA2D16" w:rsidP="00AA2D16">
      <w:pPr>
        <w:rPr>
          <w:color w:val="FF0000"/>
        </w:rPr>
      </w:pPr>
      <w:r>
        <w:rPr>
          <w:color w:val="FF0000"/>
        </w:rPr>
        <w:t>Origin of infection: Current hospital</w:t>
      </w:r>
    </w:p>
    <w:p w14:paraId="1876D9FA" w14:textId="784E98B8" w:rsidR="00AA2D16" w:rsidRPr="00D85899" w:rsidRDefault="00AA2D16" w:rsidP="00AA2D16">
      <w:pPr>
        <w:rPr>
          <w:color w:val="FF0000"/>
        </w:rPr>
      </w:pPr>
      <w:r>
        <w:rPr>
          <w:color w:val="FF0000"/>
        </w:rPr>
        <w:t xml:space="preserve">HAI associated to current ward: </w:t>
      </w:r>
      <w:r w:rsidR="009D51C7">
        <w:rPr>
          <w:color w:val="FF0000"/>
        </w:rPr>
        <w:t xml:space="preserve">Yes </w:t>
      </w:r>
    </w:p>
    <w:p w14:paraId="22951374" w14:textId="77777777" w:rsidR="00227594" w:rsidRPr="00D85899" w:rsidRDefault="00227594" w:rsidP="00227594">
      <w:pPr>
        <w:rPr>
          <w:color w:val="FF0000"/>
        </w:rPr>
      </w:pPr>
      <w:r w:rsidRPr="00D85899">
        <w:rPr>
          <w:color w:val="FF0000"/>
        </w:rPr>
        <w:t>Microorganism code(s):</w:t>
      </w:r>
      <w:r>
        <w:rPr>
          <w:color w:val="FF0000"/>
        </w:rPr>
        <w:t xml:space="preserve"> KLEPNE</w:t>
      </w:r>
    </w:p>
    <w:p w14:paraId="4C18157E" w14:textId="7A45B337" w:rsidR="00227594" w:rsidRPr="00D85899" w:rsidRDefault="00227594" w:rsidP="00227594">
      <w:pPr>
        <w:rPr>
          <w:color w:val="FF0000"/>
        </w:rPr>
      </w:pPr>
      <w:r w:rsidRPr="00D85899">
        <w:rPr>
          <w:color w:val="FF0000"/>
        </w:rPr>
        <w:t>Resistance marker(s) and code(s):</w:t>
      </w:r>
      <w:r>
        <w:rPr>
          <w:color w:val="FF0000"/>
        </w:rPr>
        <w:t xml:space="preserve"> </w:t>
      </w:r>
      <w:r w:rsidR="009A3048">
        <w:rPr>
          <w:color w:val="FF0000"/>
        </w:rPr>
        <w:t>C3G-R, CAR-S (PPS-1 protocol: 1)</w:t>
      </w:r>
    </w:p>
    <w:p w14:paraId="52FD6022" w14:textId="77777777" w:rsidR="004951D9" w:rsidRDefault="004951D9" w:rsidP="004951D9">
      <w:r>
        <w:br w:type="page"/>
      </w:r>
    </w:p>
    <w:p w14:paraId="5D5DDEA1" w14:textId="71DA890B" w:rsidR="00B43E9C" w:rsidRDefault="00B40E4C" w:rsidP="00B43E9C">
      <w:pPr>
        <w:rPr>
          <w:b/>
        </w:rPr>
      </w:pPr>
      <w:r>
        <w:rPr>
          <w:b/>
        </w:rPr>
        <w:lastRenderedPageBreak/>
        <w:t>Clinical c</w:t>
      </w:r>
      <w:r w:rsidR="004951D9">
        <w:rPr>
          <w:b/>
        </w:rPr>
        <w:t>ase 3</w:t>
      </w:r>
      <w:r w:rsidR="00B43E9C">
        <w:rPr>
          <w:b/>
        </w:rPr>
        <w:t xml:space="preserve"> </w:t>
      </w:r>
      <w:r w:rsidR="00B43E9C" w:rsidRPr="004E314A">
        <w:rPr>
          <w:color w:val="FF0000"/>
        </w:rPr>
        <w:t xml:space="preserve">Case objective: </w:t>
      </w:r>
      <w:r w:rsidR="00B43E9C">
        <w:rPr>
          <w:color w:val="FF0000"/>
        </w:rPr>
        <w:t xml:space="preserve">address complicated </w:t>
      </w:r>
      <w:r w:rsidR="00714E90">
        <w:rPr>
          <w:color w:val="FF0000"/>
        </w:rPr>
        <w:t>surgical site infection (</w:t>
      </w:r>
      <w:r w:rsidR="00B43E9C">
        <w:rPr>
          <w:color w:val="FF0000"/>
        </w:rPr>
        <w:t>SSI</w:t>
      </w:r>
      <w:r w:rsidR="00714E90">
        <w:rPr>
          <w:color w:val="FF0000"/>
        </w:rPr>
        <w:t>)</w:t>
      </w:r>
      <w:r w:rsidR="00B43E9C">
        <w:rPr>
          <w:color w:val="FF0000"/>
        </w:rPr>
        <w:t xml:space="preserve"> with secondary </w:t>
      </w:r>
      <w:r w:rsidR="00714E90">
        <w:rPr>
          <w:color w:val="FF0000"/>
        </w:rPr>
        <w:t>bloodstream infection (</w:t>
      </w:r>
      <w:r w:rsidR="00B43E9C">
        <w:rPr>
          <w:color w:val="FF0000"/>
        </w:rPr>
        <w:t>BSI</w:t>
      </w:r>
      <w:r w:rsidR="00714E90">
        <w:rPr>
          <w:color w:val="FF0000"/>
        </w:rPr>
        <w:t>)</w:t>
      </w:r>
    </w:p>
    <w:p w14:paraId="75329E00" w14:textId="008D3C1F" w:rsidR="004158D8" w:rsidRPr="00715182" w:rsidRDefault="00680FDE">
      <w:r>
        <w:t>69-year-old male admitted on 2 March to be operated for oesophageal cancer. He was operated on 4 March and was transferred to the ICU after operation. On 5 March</w:t>
      </w:r>
      <w:r w:rsidR="001D3CAB">
        <w:t>,</w:t>
      </w:r>
      <w:r>
        <w:t xml:space="preserve"> he returned to the surgical ward. On 6 March, he developed fever 37.8</w:t>
      </w:r>
      <w:r>
        <w:sym w:font="Symbol" w:char="F0B0"/>
      </w:r>
      <w:r>
        <w:t>C. A chest x-ray showed multifocal ill-defined infiltrates in both lung bases. Antibiotic treatment with ampicillin</w:t>
      </w:r>
      <w:r w:rsidR="00714E90">
        <w:t>/</w:t>
      </w:r>
      <w:r>
        <w:t>sulbactam 3 x</w:t>
      </w:r>
      <w:r w:rsidR="00714E90">
        <w:t xml:space="preserve"> </w:t>
      </w:r>
      <w:r>
        <w:t>2g was initiated. On 7 March, the patient had a low-grade fever up to 37.7</w:t>
      </w:r>
      <w:r>
        <w:sym w:font="Symbol" w:char="F0B0"/>
      </w:r>
      <w:r>
        <w:t>C. A chest CT scan displayed signs of atelectasis in both lower lobes and inflammatory signs around the oesophageal anastomosis, consistent with the recent operation. On 11 March, a central venous catheter was inserted due to difficult peripheral access. The clinical condition remained stable with low grade fever until 19 March when the patient developed fever 39.2</w:t>
      </w:r>
      <w:r>
        <w:sym w:font="Symbol" w:char="F0B0"/>
      </w:r>
      <w:r>
        <w:t>C with septic shock. The WBC was 19,000/</w:t>
      </w:r>
      <w:r w:rsidRPr="004951D9">
        <w:t>mm</w:t>
      </w:r>
      <w:r w:rsidRPr="004951D9">
        <w:rPr>
          <w:vertAlign w:val="superscript"/>
        </w:rPr>
        <w:t>3</w:t>
      </w:r>
      <w:r>
        <w:t xml:space="preserve">. </w:t>
      </w:r>
      <w:r w:rsidRPr="004951D9">
        <w:t>He</w:t>
      </w:r>
      <w:r>
        <w:t xml:space="preserve"> was intubated and transferred to the ICU. The central catheter was replaced, and the tip sent for culture. An urgent chest CT scan revealed widening of the mediastinum with the presence of an air-fluid level, consistent with mediastinitis. Treatment with meropenem 3 x 2g IV, vancomycin 2 x 1g IV and micafungin 1 x 100mg IV was initiated </w:t>
      </w:r>
      <w:r w:rsidRPr="0060236A">
        <w:t>for the treatment of sepsis according to the patient record</w:t>
      </w:r>
      <w:r w:rsidR="00714E90">
        <w:t>.</w:t>
      </w:r>
      <w:r>
        <w:t xml:space="preserve"> </w:t>
      </w:r>
      <w:r w:rsidR="00714E90">
        <w:t>An</w:t>
      </w:r>
      <w:r>
        <w:t xml:space="preserve"> emergency reoperation for debridement was performed on 20 March. Cultures of blood, the catheter (10 CFU on semiquantitative culture), urine and intra-operatively collected pus were positive for </w:t>
      </w:r>
      <w:r>
        <w:rPr>
          <w:i/>
        </w:rPr>
        <w:t>Candida glabrata</w:t>
      </w:r>
      <w:r>
        <w:t xml:space="preserve">. The patient’s condition remained critical under treatment until 23 March when the survey was carried out. </w:t>
      </w:r>
      <w:r w:rsidR="00715182">
        <w:t xml:space="preserve"> </w:t>
      </w:r>
      <w:r w:rsidR="00B40E4C">
        <w:t>Use Form A/B: Patient</w:t>
      </w:r>
      <w:r w:rsidR="00826966">
        <w:t>-</w:t>
      </w:r>
      <w:r w:rsidR="00B40E4C">
        <w:t>based data</w:t>
      </w:r>
      <w:r w:rsidR="00B40E4C">
        <w:rPr>
          <w:b/>
        </w:rPr>
        <w:t xml:space="preserve"> </w:t>
      </w:r>
    </w:p>
    <w:p w14:paraId="31E46C33" w14:textId="77777777" w:rsidR="004158D8" w:rsidRDefault="00BB1EEB" w:rsidP="00BA0211">
      <w:pPr>
        <w:spacing w:line="240" w:lineRule="auto"/>
        <w:rPr>
          <w:color w:val="FF0000"/>
        </w:rPr>
      </w:pPr>
      <w:r w:rsidRPr="00BB1EEB">
        <w:rPr>
          <w:color w:val="FF0000"/>
        </w:rPr>
        <w:t>Rece</w:t>
      </w:r>
      <w:r>
        <w:rPr>
          <w:color w:val="FF0000"/>
        </w:rPr>
        <w:t>ives antimicrobial: Yes</w:t>
      </w:r>
    </w:p>
    <w:p w14:paraId="2317A04B" w14:textId="77777777" w:rsidR="00BB1EEB" w:rsidRDefault="00BB1EEB" w:rsidP="00BA0211">
      <w:pPr>
        <w:spacing w:line="240" w:lineRule="auto"/>
        <w:rPr>
          <w:color w:val="FF0000"/>
        </w:rPr>
      </w:pPr>
      <w:r w:rsidRPr="00D85899">
        <w:rPr>
          <w:color w:val="FF0000"/>
        </w:rPr>
        <w:t>Antibiotic code(s):</w:t>
      </w:r>
      <w:r>
        <w:rPr>
          <w:color w:val="FF0000"/>
        </w:rPr>
        <w:t xml:space="preserve"> </w:t>
      </w:r>
      <w:r w:rsidRPr="004158D8">
        <w:rPr>
          <w:color w:val="FF0000"/>
        </w:rPr>
        <w:t>J01DH02</w:t>
      </w:r>
      <w:r>
        <w:rPr>
          <w:color w:val="FF0000"/>
        </w:rPr>
        <w:t xml:space="preserve"> (meropenem), </w:t>
      </w:r>
      <w:r w:rsidRPr="00780E8E">
        <w:rPr>
          <w:color w:val="FF0000"/>
        </w:rPr>
        <w:t xml:space="preserve">J01XA01 </w:t>
      </w:r>
      <w:r>
        <w:rPr>
          <w:color w:val="FF0000"/>
        </w:rPr>
        <w:t xml:space="preserve">(vancomycin), </w:t>
      </w:r>
      <w:r w:rsidRPr="00780E8E">
        <w:rPr>
          <w:color w:val="FF0000"/>
        </w:rPr>
        <w:t xml:space="preserve">J02AX05 </w:t>
      </w:r>
      <w:r>
        <w:rPr>
          <w:color w:val="FF0000"/>
        </w:rPr>
        <w:t>(micafungin)</w:t>
      </w:r>
    </w:p>
    <w:p w14:paraId="5C6D26D3" w14:textId="77777777" w:rsidR="00990399" w:rsidRDefault="00990399" w:rsidP="00BA0211">
      <w:pPr>
        <w:spacing w:line="240" w:lineRule="auto"/>
        <w:rPr>
          <w:color w:val="FF0000"/>
        </w:rPr>
      </w:pPr>
      <w:r>
        <w:rPr>
          <w:color w:val="FF0000"/>
        </w:rPr>
        <w:t>Route: P (parenteral)</w:t>
      </w:r>
    </w:p>
    <w:p w14:paraId="627754BA" w14:textId="77777777" w:rsidR="00BB1EEB" w:rsidRDefault="00BB1EEB" w:rsidP="00BA0211">
      <w:pPr>
        <w:spacing w:line="240" w:lineRule="auto"/>
        <w:rPr>
          <w:color w:val="FF0000"/>
        </w:rPr>
      </w:pPr>
      <w:r w:rsidRPr="00D85899">
        <w:rPr>
          <w:color w:val="FF0000"/>
        </w:rPr>
        <w:t>Indications for antibiotic(s):</w:t>
      </w:r>
      <w:r>
        <w:rPr>
          <w:color w:val="FF0000"/>
        </w:rPr>
        <w:t xml:space="preserve"> HI (hospital infection)</w:t>
      </w:r>
    </w:p>
    <w:p w14:paraId="16FA48E0" w14:textId="45481A3F" w:rsidR="00BB1EEB" w:rsidRDefault="00BB1EEB" w:rsidP="00BA0211">
      <w:pPr>
        <w:spacing w:line="240" w:lineRule="auto"/>
        <w:rPr>
          <w:color w:val="FF0000"/>
        </w:rPr>
      </w:pPr>
      <w:r>
        <w:rPr>
          <w:color w:val="FF0000"/>
        </w:rPr>
        <w:t>Diagnosis (site)</w:t>
      </w:r>
      <w:r w:rsidR="00714E90">
        <w:rPr>
          <w:color w:val="FF0000"/>
        </w:rPr>
        <w:t xml:space="preserve"> for antimicrobial use</w:t>
      </w:r>
      <w:r>
        <w:rPr>
          <w:color w:val="FF0000"/>
        </w:rPr>
        <w:t>: CSEP for meropenem and vancomycin as no bacteria were isolated and it was initially prescribed for sepsis. BAC for micafungin (BAC includes fungemia, see FAQ). If the diagnosis changed during the patient stay, report diagnosis (site) at the time of the PPS</w:t>
      </w:r>
      <w:r w:rsidR="00580020">
        <w:rPr>
          <w:color w:val="FF0000"/>
        </w:rPr>
        <w:t>.</w:t>
      </w:r>
    </w:p>
    <w:p w14:paraId="1ACA8308" w14:textId="7A23CA70" w:rsidR="00990399" w:rsidRDefault="00990399" w:rsidP="00BA0211">
      <w:pPr>
        <w:spacing w:line="240" w:lineRule="auto"/>
        <w:rPr>
          <w:color w:val="FF0000"/>
        </w:rPr>
      </w:pPr>
      <w:r>
        <w:rPr>
          <w:color w:val="FF0000"/>
        </w:rPr>
        <w:t>Date start antimicrobial: 19 March</w:t>
      </w:r>
    </w:p>
    <w:p w14:paraId="66119296" w14:textId="71909EFD" w:rsidR="00990399" w:rsidRDefault="00990399" w:rsidP="00BA0211">
      <w:pPr>
        <w:spacing w:line="240" w:lineRule="auto"/>
        <w:rPr>
          <w:color w:val="FF0000"/>
        </w:rPr>
      </w:pPr>
      <w:r>
        <w:rPr>
          <w:color w:val="FF0000"/>
        </w:rPr>
        <w:t>C</w:t>
      </w:r>
      <w:r w:rsidRPr="00D86850">
        <w:rPr>
          <w:color w:val="FF0000"/>
        </w:rPr>
        <w:t>hanged</w:t>
      </w:r>
      <w:r>
        <w:rPr>
          <w:color w:val="FF0000"/>
        </w:rPr>
        <w:t>? + reason</w:t>
      </w:r>
      <w:r w:rsidRPr="00D86850">
        <w:rPr>
          <w:color w:val="FF0000"/>
        </w:rPr>
        <w:t>: N</w:t>
      </w:r>
      <w:r>
        <w:rPr>
          <w:color w:val="FF0000"/>
        </w:rPr>
        <w:t xml:space="preserve"> (no change)</w:t>
      </w:r>
      <w:bookmarkStart w:id="0" w:name="_GoBack"/>
      <w:bookmarkEnd w:id="0"/>
    </w:p>
    <w:p w14:paraId="4B3165AC" w14:textId="77777777" w:rsidR="00BB1EEB" w:rsidRPr="00BB1EEB" w:rsidRDefault="00990399" w:rsidP="00BA0211">
      <w:pPr>
        <w:spacing w:line="240" w:lineRule="auto"/>
        <w:rPr>
          <w:color w:val="FF0000"/>
        </w:rPr>
      </w:pPr>
      <w:r>
        <w:rPr>
          <w:color w:val="FF0000"/>
        </w:rPr>
        <w:t>Dosage per day:</w:t>
      </w:r>
      <w:r w:rsidR="00715182">
        <w:rPr>
          <w:color w:val="FF0000"/>
        </w:rPr>
        <w:t xml:space="preserve"> 3 x 2g, 2 x 1g, 1 x 100mg</w:t>
      </w:r>
    </w:p>
    <w:p w14:paraId="411667E1" w14:textId="77777777" w:rsidR="004158D8" w:rsidRDefault="004158D8" w:rsidP="00BA0211">
      <w:pPr>
        <w:spacing w:line="240" w:lineRule="auto"/>
        <w:rPr>
          <w:color w:val="FF0000"/>
        </w:rPr>
      </w:pPr>
      <w:r w:rsidRPr="00D85899">
        <w:rPr>
          <w:color w:val="FF0000"/>
        </w:rPr>
        <w:t>Active HAI:</w:t>
      </w:r>
      <w:r>
        <w:rPr>
          <w:color w:val="FF0000"/>
        </w:rPr>
        <w:t xml:space="preserve"> Yes</w:t>
      </w:r>
    </w:p>
    <w:p w14:paraId="139BE7E6" w14:textId="77777777" w:rsidR="00715182" w:rsidRDefault="00715182" w:rsidP="00BA0211">
      <w:pPr>
        <w:spacing w:line="240" w:lineRule="auto"/>
        <w:rPr>
          <w:color w:val="FF0000"/>
        </w:rPr>
      </w:pPr>
      <w:r>
        <w:rPr>
          <w:color w:val="FF0000"/>
        </w:rPr>
        <w:t>Case definition code(s)</w:t>
      </w:r>
      <w:r w:rsidRPr="00D85899">
        <w:rPr>
          <w:color w:val="FF0000"/>
        </w:rPr>
        <w:t>:</w:t>
      </w:r>
      <w:r>
        <w:rPr>
          <w:color w:val="FF0000"/>
        </w:rPr>
        <w:t xml:space="preserve"> SSI-O (fever, radiologic findings of mediastinitis), BSI (origin: S-SSI). The definition for UTI is not fulfilled due to the presence of other recognised cause.</w:t>
      </w:r>
    </w:p>
    <w:p w14:paraId="5F1C2F21" w14:textId="77777777" w:rsidR="00715182" w:rsidRDefault="00715182" w:rsidP="00BA0211">
      <w:pPr>
        <w:spacing w:line="240" w:lineRule="auto"/>
        <w:rPr>
          <w:color w:val="FF0000"/>
        </w:rPr>
      </w:pPr>
      <w:r>
        <w:rPr>
          <w:color w:val="FF0000"/>
        </w:rPr>
        <w:t>Relevant device: Yes (for BSI)</w:t>
      </w:r>
    </w:p>
    <w:p w14:paraId="5748F741" w14:textId="77777777" w:rsidR="004158D8" w:rsidRDefault="004158D8" w:rsidP="00BA0211">
      <w:pPr>
        <w:spacing w:line="240" w:lineRule="auto"/>
        <w:rPr>
          <w:color w:val="FF0000"/>
        </w:rPr>
      </w:pPr>
      <w:r>
        <w:rPr>
          <w:color w:val="FF0000"/>
        </w:rPr>
        <w:t>Present on admission: No</w:t>
      </w:r>
    </w:p>
    <w:p w14:paraId="25425287" w14:textId="216E49CF" w:rsidR="004158D8" w:rsidRDefault="000D0096" w:rsidP="00BA0211">
      <w:pPr>
        <w:spacing w:line="240" w:lineRule="auto"/>
        <w:rPr>
          <w:color w:val="FF0000"/>
        </w:rPr>
      </w:pPr>
      <w:r>
        <w:rPr>
          <w:color w:val="FF0000"/>
        </w:rPr>
        <w:t>Date of onset: 19 March</w:t>
      </w:r>
      <w:r w:rsidR="004158D8">
        <w:rPr>
          <w:color w:val="FF0000"/>
        </w:rPr>
        <w:t xml:space="preserve"> (day </w:t>
      </w:r>
      <w:r>
        <w:rPr>
          <w:color w:val="FF0000"/>
        </w:rPr>
        <w:t>18</w:t>
      </w:r>
      <w:r w:rsidR="004158D8">
        <w:rPr>
          <w:color w:val="FF0000"/>
        </w:rPr>
        <w:t>)</w:t>
      </w:r>
      <w:r w:rsidR="00B33072">
        <w:rPr>
          <w:color w:val="FF0000"/>
        </w:rPr>
        <w:t xml:space="preserve">. One may also argue that the date of onset was 6 March, when the first signs of SSI-O </w:t>
      </w:r>
      <w:r w:rsidR="00372915">
        <w:rPr>
          <w:color w:val="FF0000"/>
        </w:rPr>
        <w:t>appeared</w:t>
      </w:r>
      <w:r w:rsidR="00BA0211">
        <w:rPr>
          <w:color w:val="FF0000"/>
        </w:rPr>
        <w:t>.</w:t>
      </w:r>
    </w:p>
    <w:p w14:paraId="7C64DDAE" w14:textId="77777777" w:rsidR="00715182" w:rsidRDefault="00715182" w:rsidP="00BA0211">
      <w:pPr>
        <w:spacing w:line="240" w:lineRule="auto"/>
        <w:rPr>
          <w:color w:val="FF0000"/>
        </w:rPr>
      </w:pPr>
      <w:r>
        <w:rPr>
          <w:color w:val="FF0000"/>
        </w:rPr>
        <w:t>Origin of infection: Current hospital</w:t>
      </w:r>
    </w:p>
    <w:p w14:paraId="449957D8" w14:textId="77777777" w:rsidR="00715182" w:rsidRPr="00D85899" w:rsidRDefault="00715182" w:rsidP="00BA0211">
      <w:pPr>
        <w:spacing w:line="240" w:lineRule="auto"/>
        <w:rPr>
          <w:color w:val="FF0000"/>
        </w:rPr>
      </w:pPr>
      <w:r>
        <w:rPr>
          <w:color w:val="FF0000"/>
        </w:rPr>
        <w:t xml:space="preserve">HAI associated </w:t>
      </w:r>
      <w:r w:rsidR="00AA2D16">
        <w:rPr>
          <w:color w:val="FF0000"/>
        </w:rPr>
        <w:t xml:space="preserve">to </w:t>
      </w:r>
      <w:r>
        <w:rPr>
          <w:color w:val="FF0000"/>
        </w:rPr>
        <w:t>current ward: No</w:t>
      </w:r>
    </w:p>
    <w:p w14:paraId="49CBC838" w14:textId="66B74F69" w:rsidR="00E14DCE" w:rsidRPr="00AA2D16" w:rsidRDefault="004158D8" w:rsidP="00BA0211">
      <w:pPr>
        <w:spacing w:line="240" w:lineRule="auto"/>
        <w:rPr>
          <w:color w:val="FF0000"/>
        </w:rPr>
      </w:pPr>
      <w:r w:rsidRPr="00D85899">
        <w:rPr>
          <w:color w:val="FF0000"/>
        </w:rPr>
        <w:t>Microorganism code(s):</w:t>
      </w:r>
      <w:r>
        <w:rPr>
          <w:color w:val="FF0000"/>
        </w:rPr>
        <w:t xml:space="preserve"> CANGLA</w:t>
      </w:r>
      <w:r w:rsidR="00BA0211">
        <w:rPr>
          <w:color w:val="FF0000"/>
        </w:rPr>
        <w:t xml:space="preserve"> (for both SSI-O and BSI)</w:t>
      </w:r>
    </w:p>
    <w:p w14:paraId="29CCE283" w14:textId="77777777" w:rsidR="00E14DCE" w:rsidRPr="00E14DCE" w:rsidRDefault="00B40E4C" w:rsidP="00F1256E">
      <w:pPr>
        <w:rPr>
          <w:b/>
        </w:rPr>
      </w:pPr>
      <w:r>
        <w:rPr>
          <w:b/>
        </w:rPr>
        <w:lastRenderedPageBreak/>
        <w:t>Clinical c</w:t>
      </w:r>
      <w:r w:rsidR="00E14DCE">
        <w:rPr>
          <w:b/>
        </w:rPr>
        <w:t>ase 4</w:t>
      </w:r>
      <w:r w:rsidR="00597C4E">
        <w:rPr>
          <w:b/>
        </w:rPr>
        <w:t xml:space="preserve"> </w:t>
      </w:r>
      <w:r w:rsidR="00597C4E" w:rsidRPr="004E314A">
        <w:rPr>
          <w:color w:val="FF0000"/>
        </w:rPr>
        <w:t xml:space="preserve">Case objective: </w:t>
      </w:r>
      <w:r w:rsidR="00597C4E">
        <w:rPr>
          <w:color w:val="FF0000"/>
        </w:rPr>
        <w:t>address HAI on admission</w:t>
      </w:r>
      <w:r w:rsidR="00714CB9">
        <w:rPr>
          <w:color w:val="FF0000"/>
        </w:rPr>
        <w:t xml:space="preserve"> and the presence of more than one HAI</w:t>
      </w:r>
    </w:p>
    <w:p w14:paraId="7A3CB621" w14:textId="2D47995A" w:rsidR="00597C4E" w:rsidRPr="00715182" w:rsidRDefault="003523EB" w:rsidP="00F1256E">
      <w:r>
        <w:t>58-year-old male patient was discharged on 16 February at 18:00 after being treated for nephrotic syndrome. On discharge he had low-grade fever and was prescribed cefuroxime 2 x 500mg for five days. On 18 February at 14:00 the patient was readmitted to the same hospital with a temperature of 38.6</w:t>
      </w:r>
      <w:r>
        <w:sym w:font="Symbol" w:char="F0B0"/>
      </w:r>
      <w:r>
        <w:t xml:space="preserve">C and productive cough. A chest x-ray showed evidence of </w:t>
      </w:r>
      <w:proofErr w:type="spellStart"/>
      <w:r>
        <w:t>broncho</w:t>
      </w:r>
      <w:proofErr w:type="spellEnd"/>
      <w:r>
        <w:t xml:space="preserve">-pulmonary infiltrates. The diagnosis on admission was pneumonia and piperacillin-tazobactam </w:t>
      </w:r>
      <w:r w:rsidR="00F7062B">
        <w:t xml:space="preserve">(4 x 4.5 g) </w:t>
      </w:r>
      <w:r>
        <w:t>was initiated after blood cultures were taken. Due to impeding respiratory failure, the patient was transferred to the ICU and intubated. Bronchial secretions were sent for culture and a urinary and central venous catheter were introduced. The condition of the patient improved slowly but weaning from the respirator was difficult.  On 25 February, he presented with fever 38.3</w:t>
      </w:r>
      <w:r>
        <w:sym w:font="Symbol" w:char="F0B0"/>
      </w:r>
      <w:r>
        <w:t xml:space="preserve">C and </w:t>
      </w:r>
      <w:proofErr w:type="spellStart"/>
      <w:r>
        <w:t>diarrhea</w:t>
      </w:r>
      <w:proofErr w:type="spellEnd"/>
      <w:r>
        <w:t xml:space="preserve">. A new x-ray did not show significant changes. Blood cultures were taken, the CVC was replaced, and the tip sent for culture. A stool specimen was sent for </w:t>
      </w:r>
      <w:r w:rsidRPr="00372915">
        <w:rPr>
          <w:i/>
        </w:rPr>
        <w:t>Clostridium difficile</w:t>
      </w:r>
      <w:r>
        <w:t xml:space="preserve"> toxin testing and on the morning of 26 February a positive result was reported. Vancomycin 4 x 125mg was administered by nasogastric tube </w:t>
      </w:r>
      <w:r w:rsidRPr="0091019A">
        <w:t xml:space="preserve">for CDI (documented in the notes) </w:t>
      </w:r>
      <w:r>
        <w:t xml:space="preserve">and piperacillin-tazobactam was continued. The survey was performed on 28 February at </w:t>
      </w:r>
      <w:r w:rsidR="00BA0211">
        <w:t>14:00</w:t>
      </w:r>
      <w:r>
        <w:t xml:space="preserve">. </w:t>
      </w:r>
      <w:r w:rsidR="00B40E4C">
        <w:t>Use Form A/B: Patient</w:t>
      </w:r>
      <w:r w:rsidR="00BA0211">
        <w:t>-</w:t>
      </w:r>
      <w:r w:rsidR="00B40E4C">
        <w:t>based data</w:t>
      </w:r>
    </w:p>
    <w:p w14:paraId="06241896" w14:textId="77777777" w:rsidR="00BB1EEB" w:rsidRDefault="00BB1EEB" w:rsidP="00F1256E">
      <w:pPr>
        <w:rPr>
          <w:color w:val="FF0000"/>
        </w:rPr>
      </w:pPr>
      <w:r w:rsidRPr="00BB1EEB">
        <w:rPr>
          <w:color w:val="FF0000"/>
        </w:rPr>
        <w:t>Re</w:t>
      </w:r>
      <w:r>
        <w:rPr>
          <w:color w:val="FF0000"/>
        </w:rPr>
        <w:t>ceived antimicrobial: Yes</w:t>
      </w:r>
    </w:p>
    <w:p w14:paraId="31CFEB10" w14:textId="77777777" w:rsidR="00BB1EEB" w:rsidRDefault="00BB1EEB" w:rsidP="00BB1EEB">
      <w:pPr>
        <w:rPr>
          <w:rFonts w:cs="Tahoma"/>
          <w:color w:val="FF0000"/>
          <w:spacing w:val="-2"/>
          <w:szCs w:val="18"/>
          <w:lang w:eastAsia="nl-NL"/>
        </w:rPr>
      </w:pPr>
      <w:r w:rsidRPr="00D85899">
        <w:rPr>
          <w:color w:val="FF0000"/>
        </w:rPr>
        <w:t>Antibiotic code(s):</w:t>
      </w:r>
      <w:r>
        <w:rPr>
          <w:color w:val="FF0000"/>
        </w:rPr>
        <w:t xml:space="preserve"> </w:t>
      </w:r>
      <w:r w:rsidRPr="00232082">
        <w:rPr>
          <w:rFonts w:cs="Tahoma"/>
          <w:color w:val="FF0000"/>
          <w:spacing w:val="-2"/>
          <w:szCs w:val="18"/>
          <w:lang w:eastAsia="nl-NL"/>
        </w:rPr>
        <w:t>J01CR05 (piperacillin and enzyme inhibito</w:t>
      </w:r>
      <w:r w:rsidR="00D86850">
        <w:rPr>
          <w:rFonts w:cs="Tahoma"/>
          <w:color w:val="FF0000"/>
          <w:spacing w:val="-2"/>
          <w:szCs w:val="18"/>
          <w:lang w:eastAsia="nl-NL"/>
        </w:rPr>
        <w:t>r</w:t>
      </w:r>
      <w:r>
        <w:rPr>
          <w:rFonts w:cs="Tahoma"/>
          <w:color w:val="FF0000"/>
          <w:spacing w:val="-2"/>
          <w:szCs w:val="18"/>
          <w:lang w:eastAsia="nl-NL"/>
        </w:rPr>
        <w:t>)</w:t>
      </w:r>
      <w:r w:rsidRPr="00232082">
        <w:rPr>
          <w:color w:val="FF0000"/>
        </w:rPr>
        <w:t xml:space="preserve">, </w:t>
      </w:r>
      <w:r w:rsidRPr="00714CB9">
        <w:rPr>
          <w:rFonts w:cs="Tahoma"/>
          <w:color w:val="FF0000"/>
          <w:spacing w:val="-2"/>
          <w:szCs w:val="18"/>
          <w:lang w:eastAsia="nl-NL"/>
        </w:rPr>
        <w:t>A07AA09</w:t>
      </w:r>
      <w:r w:rsidRPr="00232082">
        <w:rPr>
          <w:rFonts w:cs="Tahoma"/>
          <w:color w:val="FF0000"/>
          <w:spacing w:val="-2"/>
          <w:szCs w:val="18"/>
          <w:lang w:eastAsia="nl-NL"/>
        </w:rPr>
        <w:t xml:space="preserve"> (</w:t>
      </w:r>
      <w:r>
        <w:rPr>
          <w:rFonts w:cs="Tahoma"/>
          <w:color w:val="FF0000"/>
          <w:spacing w:val="-2"/>
          <w:szCs w:val="18"/>
          <w:lang w:eastAsia="nl-NL"/>
        </w:rPr>
        <w:t>vancomycin oral</w:t>
      </w:r>
      <w:r w:rsidRPr="00232082">
        <w:rPr>
          <w:rFonts w:cs="Tahoma"/>
          <w:color w:val="FF0000"/>
          <w:spacing w:val="-2"/>
          <w:szCs w:val="18"/>
          <w:lang w:eastAsia="nl-NL"/>
        </w:rPr>
        <w:t>)</w:t>
      </w:r>
    </w:p>
    <w:p w14:paraId="1079A3FA" w14:textId="77777777" w:rsidR="00D86850" w:rsidRPr="00B66915" w:rsidRDefault="00D86850" w:rsidP="00BB1EEB">
      <w:pPr>
        <w:rPr>
          <w:color w:val="FF0000"/>
        </w:rPr>
      </w:pPr>
      <w:r w:rsidRPr="00B66915">
        <w:rPr>
          <w:color w:val="FF0000"/>
        </w:rPr>
        <w:t>Route: P (parenteral), O</w:t>
      </w:r>
      <w:r w:rsidR="004E5384" w:rsidRPr="00B66915">
        <w:rPr>
          <w:color w:val="FF0000"/>
        </w:rPr>
        <w:t xml:space="preserve"> (oral)</w:t>
      </w:r>
    </w:p>
    <w:p w14:paraId="25945529" w14:textId="568161C4" w:rsidR="00BB1EEB" w:rsidRDefault="00BB1EEB" w:rsidP="00BB1EEB">
      <w:pPr>
        <w:rPr>
          <w:color w:val="FF0000"/>
        </w:rPr>
      </w:pPr>
      <w:r w:rsidRPr="00D85899">
        <w:rPr>
          <w:color w:val="FF0000"/>
        </w:rPr>
        <w:t>Indications for antibiotic(s):</w:t>
      </w:r>
      <w:r>
        <w:rPr>
          <w:color w:val="FF0000"/>
        </w:rPr>
        <w:t xml:space="preserve"> HI (hospital infection)</w:t>
      </w:r>
    </w:p>
    <w:p w14:paraId="3C9080FB" w14:textId="36E1E219" w:rsidR="00BA0211" w:rsidRDefault="00BA0211" w:rsidP="00BB1EEB">
      <w:pPr>
        <w:rPr>
          <w:color w:val="FF0000"/>
        </w:rPr>
      </w:pPr>
      <w:r>
        <w:rPr>
          <w:color w:val="FF0000"/>
        </w:rPr>
        <w:t xml:space="preserve">Diagnosis (site) for antimicrobial use: PNEU for piperacillin-tazobactam, GI for oral vancomycin </w:t>
      </w:r>
    </w:p>
    <w:p w14:paraId="4693C73B" w14:textId="0DF831CA" w:rsidR="00BB1EEB" w:rsidRDefault="00BB1EEB" w:rsidP="00BB1EEB">
      <w:pPr>
        <w:rPr>
          <w:color w:val="FF0000"/>
        </w:rPr>
      </w:pPr>
      <w:r>
        <w:rPr>
          <w:color w:val="FF0000"/>
        </w:rPr>
        <w:t>Date start</w:t>
      </w:r>
      <w:r w:rsidR="00BA0211">
        <w:rPr>
          <w:color w:val="FF0000"/>
        </w:rPr>
        <w:t xml:space="preserve"> antimicrobial</w:t>
      </w:r>
      <w:r>
        <w:rPr>
          <w:color w:val="FF0000"/>
        </w:rPr>
        <w:t>: 18 February, 2</w:t>
      </w:r>
      <w:r w:rsidR="004E5384">
        <w:rPr>
          <w:color w:val="FF0000"/>
        </w:rPr>
        <w:t>6</w:t>
      </w:r>
      <w:r>
        <w:rPr>
          <w:color w:val="FF0000"/>
        </w:rPr>
        <w:t xml:space="preserve"> February</w:t>
      </w:r>
    </w:p>
    <w:p w14:paraId="2E4F0B42" w14:textId="77777777" w:rsidR="00D86850" w:rsidRDefault="00990399" w:rsidP="00BB1EEB">
      <w:pPr>
        <w:rPr>
          <w:color w:val="FF0000"/>
        </w:rPr>
      </w:pPr>
      <w:r>
        <w:rPr>
          <w:color w:val="FF0000"/>
        </w:rPr>
        <w:t>C</w:t>
      </w:r>
      <w:r w:rsidR="00D86850" w:rsidRPr="00D86850">
        <w:rPr>
          <w:color w:val="FF0000"/>
        </w:rPr>
        <w:t>hanged</w:t>
      </w:r>
      <w:r>
        <w:rPr>
          <w:color w:val="FF0000"/>
        </w:rPr>
        <w:t>? + reason</w:t>
      </w:r>
      <w:r w:rsidR="00D86850" w:rsidRPr="00D86850">
        <w:rPr>
          <w:color w:val="FF0000"/>
        </w:rPr>
        <w:t>: E</w:t>
      </w:r>
      <w:r w:rsidR="00D86850">
        <w:rPr>
          <w:color w:val="FF0000"/>
        </w:rPr>
        <w:t xml:space="preserve"> (escalation)</w:t>
      </w:r>
      <w:r w:rsidR="00D86850" w:rsidRPr="00D86850">
        <w:rPr>
          <w:color w:val="FF0000"/>
        </w:rPr>
        <w:t>, N</w:t>
      </w:r>
      <w:r w:rsidR="00D86850">
        <w:rPr>
          <w:color w:val="FF0000"/>
        </w:rPr>
        <w:t xml:space="preserve"> (no change)</w:t>
      </w:r>
    </w:p>
    <w:p w14:paraId="296FC13D" w14:textId="1E7FD0C4" w:rsidR="00F7062B" w:rsidRPr="00D86850" w:rsidRDefault="005E0223" w:rsidP="00BB1EEB">
      <w:pPr>
        <w:rPr>
          <w:color w:val="FF0000"/>
        </w:rPr>
      </w:pPr>
      <w:r>
        <w:rPr>
          <w:color w:val="FF0000"/>
        </w:rPr>
        <w:t>Date s</w:t>
      </w:r>
      <w:r w:rsidR="00F7062B">
        <w:rPr>
          <w:color w:val="FF0000"/>
        </w:rPr>
        <w:t xml:space="preserve">tart </w:t>
      </w:r>
      <w:r>
        <w:rPr>
          <w:color w:val="FF0000"/>
        </w:rPr>
        <w:t>1</w:t>
      </w:r>
      <w:r w:rsidRPr="005E0223">
        <w:rPr>
          <w:color w:val="FF0000"/>
          <w:vertAlign w:val="superscript"/>
        </w:rPr>
        <w:t>st</w:t>
      </w:r>
      <w:r>
        <w:rPr>
          <w:color w:val="FF0000"/>
        </w:rPr>
        <w:t xml:space="preserve"> </w:t>
      </w:r>
      <w:r w:rsidR="00F7062B">
        <w:rPr>
          <w:color w:val="FF0000"/>
        </w:rPr>
        <w:t>antimicrobial: 18 February</w:t>
      </w:r>
    </w:p>
    <w:p w14:paraId="3F5507F8" w14:textId="2878C24D" w:rsidR="00D86850" w:rsidRPr="00BB1EEB" w:rsidRDefault="00F7062B" w:rsidP="00F1256E">
      <w:pPr>
        <w:rPr>
          <w:color w:val="FF0000"/>
        </w:rPr>
      </w:pPr>
      <w:r>
        <w:rPr>
          <w:color w:val="FF0000"/>
        </w:rPr>
        <w:t>Dosage per day: 4 x 4.5g, 4 x 125mg</w:t>
      </w:r>
    </w:p>
    <w:p w14:paraId="3C1F8185" w14:textId="15A9B585" w:rsidR="00597C4E" w:rsidRDefault="00597C4E" w:rsidP="00597C4E">
      <w:pPr>
        <w:rPr>
          <w:color w:val="FF0000"/>
        </w:rPr>
      </w:pPr>
      <w:r w:rsidRPr="00D85899">
        <w:rPr>
          <w:color w:val="FF0000"/>
        </w:rPr>
        <w:t>Active HAI:</w:t>
      </w:r>
      <w:r>
        <w:rPr>
          <w:color w:val="FF0000"/>
        </w:rPr>
        <w:t xml:space="preserve"> Yes</w:t>
      </w:r>
      <w:r w:rsidR="00714CB9">
        <w:rPr>
          <w:color w:val="FF0000"/>
        </w:rPr>
        <w:t>, two HAIs are active at the time of the survey</w:t>
      </w:r>
      <w:r w:rsidR="005E0223">
        <w:rPr>
          <w:color w:val="FF0000"/>
        </w:rPr>
        <w:t>.</w:t>
      </w:r>
    </w:p>
    <w:p w14:paraId="1FB8AFA6" w14:textId="77777777" w:rsidR="00576DDA" w:rsidRDefault="00576DDA" w:rsidP="00597C4E">
      <w:pPr>
        <w:rPr>
          <w:color w:val="FF0000"/>
        </w:rPr>
      </w:pPr>
      <w:r>
        <w:rPr>
          <w:color w:val="FF0000"/>
        </w:rPr>
        <w:t>Case definition code(s): PN-5, GI-CDI</w:t>
      </w:r>
    </w:p>
    <w:p w14:paraId="0B372F1A" w14:textId="77777777" w:rsidR="00576DDA" w:rsidRDefault="00576DDA" w:rsidP="00597C4E">
      <w:pPr>
        <w:rPr>
          <w:color w:val="FF0000"/>
        </w:rPr>
      </w:pPr>
      <w:r>
        <w:rPr>
          <w:color w:val="FF0000"/>
        </w:rPr>
        <w:t>Relevant device: No (</w:t>
      </w:r>
      <w:r w:rsidR="00715182">
        <w:rPr>
          <w:color w:val="FF0000"/>
        </w:rPr>
        <w:t xml:space="preserve">for </w:t>
      </w:r>
      <w:r>
        <w:rPr>
          <w:color w:val="FF0000"/>
        </w:rPr>
        <w:t>PN-5)</w:t>
      </w:r>
    </w:p>
    <w:p w14:paraId="5F16A9F9" w14:textId="77777777" w:rsidR="00597C4E" w:rsidRDefault="00597C4E" w:rsidP="00597C4E">
      <w:pPr>
        <w:rPr>
          <w:color w:val="FF0000"/>
        </w:rPr>
      </w:pPr>
      <w:r>
        <w:rPr>
          <w:color w:val="FF0000"/>
        </w:rPr>
        <w:t>Present on admission: Yes</w:t>
      </w:r>
      <w:r w:rsidR="00EE2DBA">
        <w:rPr>
          <w:color w:val="FF0000"/>
        </w:rPr>
        <w:t xml:space="preserve"> (PN-5)</w:t>
      </w:r>
      <w:r w:rsidR="00F7062B">
        <w:rPr>
          <w:color w:val="FF0000"/>
        </w:rPr>
        <w:t>,</w:t>
      </w:r>
      <w:r w:rsidR="00EE2DBA">
        <w:rPr>
          <w:color w:val="FF0000"/>
        </w:rPr>
        <w:t xml:space="preserve"> No (</w:t>
      </w:r>
      <w:r w:rsidR="00232082">
        <w:rPr>
          <w:color w:val="FF0000"/>
        </w:rPr>
        <w:t>GI-CDI</w:t>
      </w:r>
      <w:r w:rsidR="00EE2DBA">
        <w:rPr>
          <w:color w:val="FF0000"/>
        </w:rPr>
        <w:t>)</w:t>
      </w:r>
    </w:p>
    <w:p w14:paraId="038391C6" w14:textId="77777777" w:rsidR="00597C4E" w:rsidRDefault="00597C4E" w:rsidP="00597C4E">
      <w:pPr>
        <w:rPr>
          <w:color w:val="FF0000"/>
        </w:rPr>
      </w:pPr>
      <w:r>
        <w:rPr>
          <w:color w:val="FF0000"/>
        </w:rPr>
        <w:t xml:space="preserve">Date of onset: </w:t>
      </w:r>
      <w:r w:rsidR="00727DE5">
        <w:rPr>
          <w:color w:val="FF0000"/>
        </w:rPr>
        <w:t>18 February</w:t>
      </w:r>
      <w:r w:rsidR="00372915">
        <w:rPr>
          <w:color w:val="FF0000"/>
        </w:rPr>
        <w:t xml:space="preserve"> (PN-5)</w:t>
      </w:r>
      <w:r w:rsidR="00576DDA">
        <w:rPr>
          <w:color w:val="FF0000"/>
        </w:rPr>
        <w:t>,</w:t>
      </w:r>
      <w:r w:rsidR="00372915">
        <w:rPr>
          <w:color w:val="FF0000"/>
        </w:rPr>
        <w:t xml:space="preserve"> 25 February (GI-CDI)</w:t>
      </w:r>
    </w:p>
    <w:p w14:paraId="697C0403" w14:textId="77777777" w:rsidR="00576DDA" w:rsidRDefault="00576DDA" w:rsidP="00597C4E">
      <w:pPr>
        <w:rPr>
          <w:color w:val="FF0000"/>
        </w:rPr>
      </w:pPr>
      <w:r>
        <w:rPr>
          <w:color w:val="FF0000"/>
        </w:rPr>
        <w:t>Origin of infection: current hospital in both cases</w:t>
      </w:r>
    </w:p>
    <w:p w14:paraId="55B2D1F0" w14:textId="77777777" w:rsidR="00576DDA" w:rsidRDefault="00576DDA" w:rsidP="00597C4E">
      <w:pPr>
        <w:rPr>
          <w:color w:val="FF0000"/>
        </w:rPr>
      </w:pPr>
      <w:r>
        <w:rPr>
          <w:color w:val="FF0000"/>
        </w:rPr>
        <w:t>HAI associated to current ward: No (PN-5), Yes (GI-CDI)</w:t>
      </w:r>
    </w:p>
    <w:p w14:paraId="482CBEC7" w14:textId="246F91BA" w:rsidR="00576DDA" w:rsidRPr="00D85899" w:rsidRDefault="00576DDA" w:rsidP="00576DDA">
      <w:pPr>
        <w:rPr>
          <w:color w:val="FF0000"/>
        </w:rPr>
      </w:pPr>
      <w:r w:rsidRPr="00D85899">
        <w:rPr>
          <w:color w:val="FF0000"/>
        </w:rPr>
        <w:t>Microorganism code(s):</w:t>
      </w:r>
      <w:r>
        <w:rPr>
          <w:color w:val="FF0000"/>
        </w:rPr>
        <w:t xml:space="preserve"> _STERI</w:t>
      </w:r>
      <w:r w:rsidR="005E0223">
        <w:rPr>
          <w:color w:val="FF0000"/>
        </w:rPr>
        <w:t xml:space="preserve"> (for PN-5)</w:t>
      </w:r>
      <w:r>
        <w:rPr>
          <w:color w:val="FF0000"/>
        </w:rPr>
        <w:t>, CLODIF</w:t>
      </w:r>
      <w:r w:rsidR="005E0223">
        <w:rPr>
          <w:color w:val="FF0000"/>
        </w:rPr>
        <w:t xml:space="preserve"> (for GI-CDI)</w:t>
      </w:r>
    </w:p>
    <w:p w14:paraId="779FA2EB" w14:textId="77777777" w:rsidR="00576DDA" w:rsidRPr="00D85899" w:rsidRDefault="00576DDA" w:rsidP="00597C4E">
      <w:pPr>
        <w:rPr>
          <w:color w:val="FF0000"/>
        </w:rPr>
      </w:pPr>
    </w:p>
    <w:sectPr w:rsidR="00576DDA" w:rsidRPr="00D8589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4B4AA" w14:textId="77777777" w:rsidR="00E9107D" w:rsidRDefault="00E9107D" w:rsidP="00F1256E">
      <w:pPr>
        <w:spacing w:after="0" w:line="240" w:lineRule="auto"/>
      </w:pPr>
      <w:r>
        <w:separator/>
      </w:r>
    </w:p>
  </w:endnote>
  <w:endnote w:type="continuationSeparator" w:id="0">
    <w:p w14:paraId="7DBBC552" w14:textId="77777777" w:rsidR="00E9107D" w:rsidRDefault="00E9107D" w:rsidP="00F1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25761"/>
      <w:docPartObj>
        <w:docPartGallery w:val="Page Numbers (Bottom of Page)"/>
        <w:docPartUnique/>
      </w:docPartObj>
    </w:sdtPr>
    <w:sdtEndPr/>
    <w:sdtContent>
      <w:p w14:paraId="6F922B40" w14:textId="62D5CD9E" w:rsidR="00EC647B" w:rsidRDefault="00EC647B">
        <w:pPr>
          <w:pStyle w:val="Voettekst"/>
          <w:jc w:val="center"/>
        </w:pPr>
        <w:r>
          <w:fldChar w:fldCharType="begin"/>
        </w:r>
        <w:r>
          <w:instrText>PAGE   \* MERGEFORMAT</w:instrText>
        </w:r>
        <w:r>
          <w:fldChar w:fldCharType="separate"/>
        </w:r>
        <w:r>
          <w:rPr>
            <w:lang w:val="hu-HU"/>
          </w:rPr>
          <w:t>2</w:t>
        </w:r>
        <w:r>
          <w:fldChar w:fldCharType="end"/>
        </w:r>
      </w:p>
    </w:sdtContent>
  </w:sdt>
  <w:p w14:paraId="2EF93A36" w14:textId="77777777" w:rsidR="00EC647B" w:rsidRDefault="00EC64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BEC76" w14:textId="77777777" w:rsidR="00E9107D" w:rsidRDefault="00E9107D" w:rsidP="00F1256E">
      <w:pPr>
        <w:spacing w:after="0" w:line="240" w:lineRule="auto"/>
      </w:pPr>
      <w:r>
        <w:separator/>
      </w:r>
    </w:p>
  </w:footnote>
  <w:footnote w:type="continuationSeparator" w:id="0">
    <w:p w14:paraId="398EBF59" w14:textId="77777777" w:rsidR="00E9107D" w:rsidRDefault="00E9107D" w:rsidP="00F12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935A1"/>
    <w:multiLevelType w:val="hybridMultilevel"/>
    <w:tmpl w:val="2F6EF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694DFB"/>
    <w:multiLevelType w:val="hybridMultilevel"/>
    <w:tmpl w:val="F8C8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C361D3"/>
    <w:multiLevelType w:val="hybridMultilevel"/>
    <w:tmpl w:val="82E868F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5B"/>
    <w:rsid w:val="00001275"/>
    <w:rsid w:val="00002D1C"/>
    <w:rsid w:val="000148D6"/>
    <w:rsid w:val="00016BD8"/>
    <w:rsid w:val="000269CE"/>
    <w:rsid w:val="00040528"/>
    <w:rsid w:val="00042956"/>
    <w:rsid w:val="0005066B"/>
    <w:rsid w:val="00065783"/>
    <w:rsid w:val="00070F88"/>
    <w:rsid w:val="000D0096"/>
    <w:rsid w:val="000D129E"/>
    <w:rsid w:val="000D5F0B"/>
    <w:rsid w:val="000D6206"/>
    <w:rsid w:val="001168CD"/>
    <w:rsid w:val="001237DF"/>
    <w:rsid w:val="0014765B"/>
    <w:rsid w:val="00151EB6"/>
    <w:rsid w:val="001717D8"/>
    <w:rsid w:val="00173A2D"/>
    <w:rsid w:val="0017496A"/>
    <w:rsid w:val="00191982"/>
    <w:rsid w:val="001960BE"/>
    <w:rsid w:val="00196F8C"/>
    <w:rsid w:val="001A1B90"/>
    <w:rsid w:val="001A4137"/>
    <w:rsid w:val="001A61DA"/>
    <w:rsid w:val="001D26E2"/>
    <w:rsid w:val="001D3CAB"/>
    <w:rsid w:val="001E5157"/>
    <w:rsid w:val="00201A6D"/>
    <w:rsid w:val="00205421"/>
    <w:rsid w:val="00212B5B"/>
    <w:rsid w:val="0022298F"/>
    <w:rsid w:val="00227594"/>
    <w:rsid w:val="0023133B"/>
    <w:rsid w:val="00232082"/>
    <w:rsid w:val="002405E1"/>
    <w:rsid w:val="00257436"/>
    <w:rsid w:val="00257617"/>
    <w:rsid w:val="00266C04"/>
    <w:rsid w:val="0026716F"/>
    <w:rsid w:val="00292158"/>
    <w:rsid w:val="002A3977"/>
    <w:rsid w:val="002B2775"/>
    <w:rsid w:val="002D2FC5"/>
    <w:rsid w:val="002F1D0C"/>
    <w:rsid w:val="002F48BC"/>
    <w:rsid w:val="00306479"/>
    <w:rsid w:val="003425EB"/>
    <w:rsid w:val="003523EB"/>
    <w:rsid w:val="0035319E"/>
    <w:rsid w:val="00357D4E"/>
    <w:rsid w:val="00372915"/>
    <w:rsid w:val="0038200E"/>
    <w:rsid w:val="003923BE"/>
    <w:rsid w:val="003D18BE"/>
    <w:rsid w:val="003E0982"/>
    <w:rsid w:val="003E3FDE"/>
    <w:rsid w:val="003F7CDF"/>
    <w:rsid w:val="004057D3"/>
    <w:rsid w:val="004158D8"/>
    <w:rsid w:val="004327D2"/>
    <w:rsid w:val="00451220"/>
    <w:rsid w:val="0045180C"/>
    <w:rsid w:val="00453AAC"/>
    <w:rsid w:val="00457C11"/>
    <w:rsid w:val="00482B15"/>
    <w:rsid w:val="004951D9"/>
    <w:rsid w:val="004B06B8"/>
    <w:rsid w:val="004C1B0B"/>
    <w:rsid w:val="004E314A"/>
    <w:rsid w:val="004E5384"/>
    <w:rsid w:val="004F3A76"/>
    <w:rsid w:val="004F7864"/>
    <w:rsid w:val="00514463"/>
    <w:rsid w:val="005170C9"/>
    <w:rsid w:val="0052023D"/>
    <w:rsid w:val="00526F0B"/>
    <w:rsid w:val="0052715F"/>
    <w:rsid w:val="005428A9"/>
    <w:rsid w:val="00546DAB"/>
    <w:rsid w:val="00562668"/>
    <w:rsid w:val="005626DA"/>
    <w:rsid w:val="00576DDA"/>
    <w:rsid w:val="005779B1"/>
    <w:rsid w:val="00580020"/>
    <w:rsid w:val="00587EDA"/>
    <w:rsid w:val="005944A7"/>
    <w:rsid w:val="00594BED"/>
    <w:rsid w:val="00597C4E"/>
    <w:rsid w:val="005A4C38"/>
    <w:rsid w:val="005C32D3"/>
    <w:rsid w:val="005C4179"/>
    <w:rsid w:val="005D26B7"/>
    <w:rsid w:val="005D7D48"/>
    <w:rsid w:val="005E0223"/>
    <w:rsid w:val="005E30FD"/>
    <w:rsid w:val="005E33CE"/>
    <w:rsid w:val="006018B4"/>
    <w:rsid w:val="00615092"/>
    <w:rsid w:val="0061702F"/>
    <w:rsid w:val="006619D3"/>
    <w:rsid w:val="00664C31"/>
    <w:rsid w:val="00670B36"/>
    <w:rsid w:val="0067777A"/>
    <w:rsid w:val="00680FDE"/>
    <w:rsid w:val="00697BF9"/>
    <w:rsid w:val="006A1CB9"/>
    <w:rsid w:val="006A5B2F"/>
    <w:rsid w:val="006B3E96"/>
    <w:rsid w:val="006C1ECB"/>
    <w:rsid w:val="006C2FCD"/>
    <w:rsid w:val="006D279E"/>
    <w:rsid w:val="00710AE3"/>
    <w:rsid w:val="00711E1E"/>
    <w:rsid w:val="00714CB9"/>
    <w:rsid w:val="00714E90"/>
    <w:rsid w:val="00715182"/>
    <w:rsid w:val="00717ED5"/>
    <w:rsid w:val="00727DE5"/>
    <w:rsid w:val="007441B2"/>
    <w:rsid w:val="0074715C"/>
    <w:rsid w:val="00751F84"/>
    <w:rsid w:val="00752D6F"/>
    <w:rsid w:val="00766CB6"/>
    <w:rsid w:val="00767553"/>
    <w:rsid w:val="00780E8E"/>
    <w:rsid w:val="00786269"/>
    <w:rsid w:val="00787269"/>
    <w:rsid w:val="007A497A"/>
    <w:rsid w:val="007B0CFB"/>
    <w:rsid w:val="007B20D2"/>
    <w:rsid w:val="007B5E88"/>
    <w:rsid w:val="007D4F49"/>
    <w:rsid w:val="007D7A76"/>
    <w:rsid w:val="007E5C02"/>
    <w:rsid w:val="007F667D"/>
    <w:rsid w:val="00826966"/>
    <w:rsid w:val="00827720"/>
    <w:rsid w:val="00842D12"/>
    <w:rsid w:val="00845548"/>
    <w:rsid w:val="00852AC9"/>
    <w:rsid w:val="00864F60"/>
    <w:rsid w:val="008712CF"/>
    <w:rsid w:val="00895ED1"/>
    <w:rsid w:val="008E6A1C"/>
    <w:rsid w:val="0091019A"/>
    <w:rsid w:val="00912FD9"/>
    <w:rsid w:val="00916F44"/>
    <w:rsid w:val="009219D7"/>
    <w:rsid w:val="00931E7F"/>
    <w:rsid w:val="00933AF6"/>
    <w:rsid w:val="009477FF"/>
    <w:rsid w:val="00947A41"/>
    <w:rsid w:val="00950D41"/>
    <w:rsid w:val="009605C2"/>
    <w:rsid w:val="009622C4"/>
    <w:rsid w:val="0098039D"/>
    <w:rsid w:val="009842E0"/>
    <w:rsid w:val="00986046"/>
    <w:rsid w:val="00987874"/>
    <w:rsid w:val="00990399"/>
    <w:rsid w:val="009A3048"/>
    <w:rsid w:val="009A58D4"/>
    <w:rsid w:val="009A6F1A"/>
    <w:rsid w:val="009D51C7"/>
    <w:rsid w:val="009E4DBB"/>
    <w:rsid w:val="009F517F"/>
    <w:rsid w:val="00A237FF"/>
    <w:rsid w:val="00A27E3B"/>
    <w:rsid w:val="00A57D15"/>
    <w:rsid w:val="00A63B8E"/>
    <w:rsid w:val="00A80879"/>
    <w:rsid w:val="00A862A6"/>
    <w:rsid w:val="00AA2D16"/>
    <w:rsid w:val="00AA5F3C"/>
    <w:rsid w:val="00AD2C1B"/>
    <w:rsid w:val="00AF0A1F"/>
    <w:rsid w:val="00AF778C"/>
    <w:rsid w:val="00B05582"/>
    <w:rsid w:val="00B121AB"/>
    <w:rsid w:val="00B159C5"/>
    <w:rsid w:val="00B33072"/>
    <w:rsid w:val="00B40E4C"/>
    <w:rsid w:val="00B43E9C"/>
    <w:rsid w:val="00B66915"/>
    <w:rsid w:val="00B73678"/>
    <w:rsid w:val="00B85FA2"/>
    <w:rsid w:val="00B94008"/>
    <w:rsid w:val="00BA0211"/>
    <w:rsid w:val="00BB11DF"/>
    <w:rsid w:val="00BB123E"/>
    <w:rsid w:val="00BB1EEB"/>
    <w:rsid w:val="00BB48D7"/>
    <w:rsid w:val="00BF1705"/>
    <w:rsid w:val="00C00599"/>
    <w:rsid w:val="00C06C78"/>
    <w:rsid w:val="00C4332D"/>
    <w:rsid w:val="00C448AC"/>
    <w:rsid w:val="00C7432E"/>
    <w:rsid w:val="00C76CCB"/>
    <w:rsid w:val="00C86D88"/>
    <w:rsid w:val="00C95A9A"/>
    <w:rsid w:val="00CA0996"/>
    <w:rsid w:val="00CB2686"/>
    <w:rsid w:val="00CB57FC"/>
    <w:rsid w:val="00CB6E37"/>
    <w:rsid w:val="00CB7585"/>
    <w:rsid w:val="00CC00AD"/>
    <w:rsid w:val="00D26C68"/>
    <w:rsid w:val="00D46DC2"/>
    <w:rsid w:val="00D47E4A"/>
    <w:rsid w:val="00D556F7"/>
    <w:rsid w:val="00D85899"/>
    <w:rsid w:val="00D86850"/>
    <w:rsid w:val="00D954A6"/>
    <w:rsid w:val="00D96F46"/>
    <w:rsid w:val="00DB1494"/>
    <w:rsid w:val="00DD2E63"/>
    <w:rsid w:val="00DD5D7C"/>
    <w:rsid w:val="00DF030F"/>
    <w:rsid w:val="00DF3BC8"/>
    <w:rsid w:val="00DF7306"/>
    <w:rsid w:val="00E14DCE"/>
    <w:rsid w:val="00E25962"/>
    <w:rsid w:val="00E25D70"/>
    <w:rsid w:val="00E35CE1"/>
    <w:rsid w:val="00E45009"/>
    <w:rsid w:val="00E64571"/>
    <w:rsid w:val="00E71373"/>
    <w:rsid w:val="00E9107D"/>
    <w:rsid w:val="00EA178D"/>
    <w:rsid w:val="00EA6BB2"/>
    <w:rsid w:val="00EC1109"/>
    <w:rsid w:val="00EC2313"/>
    <w:rsid w:val="00EC343C"/>
    <w:rsid w:val="00EC3BD6"/>
    <w:rsid w:val="00EC647B"/>
    <w:rsid w:val="00EE2DBA"/>
    <w:rsid w:val="00EE4484"/>
    <w:rsid w:val="00EF146D"/>
    <w:rsid w:val="00EF2CF1"/>
    <w:rsid w:val="00EF395F"/>
    <w:rsid w:val="00F1256E"/>
    <w:rsid w:val="00F140E0"/>
    <w:rsid w:val="00F21F98"/>
    <w:rsid w:val="00F25C7A"/>
    <w:rsid w:val="00F43D04"/>
    <w:rsid w:val="00F5313B"/>
    <w:rsid w:val="00F56B04"/>
    <w:rsid w:val="00F7062B"/>
    <w:rsid w:val="00FA529A"/>
    <w:rsid w:val="00FC24A3"/>
    <w:rsid w:val="00FC3A2B"/>
    <w:rsid w:val="00FD57D0"/>
    <w:rsid w:val="00FE2900"/>
    <w:rsid w:val="00FE5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BA03"/>
  <w15:chartTrackingRefBased/>
  <w15:docId w15:val="{13502CB1-399C-4A3E-A023-416C7C39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1256E"/>
  </w:style>
  <w:style w:type="paragraph" w:styleId="Kop1">
    <w:name w:val="heading 1"/>
    <w:basedOn w:val="Standaard"/>
    <w:next w:val="Standaard"/>
    <w:link w:val="Kop1Char"/>
    <w:uiPriority w:val="9"/>
    <w:qFormat/>
    <w:rsid w:val="001476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125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765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1256E"/>
    <w:rPr>
      <w:rFonts w:asciiTheme="majorHAnsi" w:eastAsiaTheme="majorEastAsia" w:hAnsiTheme="majorHAnsi" w:cstheme="majorBidi"/>
      <w:color w:val="2E74B5" w:themeColor="accent1" w:themeShade="BF"/>
      <w:sz w:val="26"/>
      <w:szCs w:val="26"/>
    </w:rPr>
  </w:style>
  <w:style w:type="paragraph" w:styleId="Koptekst">
    <w:name w:val="header"/>
    <w:basedOn w:val="Standaard"/>
    <w:link w:val="KoptekstChar"/>
    <w:uiPriority w:val="99"/>
    <w:unhideWhenUsed/>
    <w:rsid w:val="00F1256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1256E"/>
  </w:style>
  <w:style w:type="paragraph" w:styleId="Voettekst">
    <w:name w:val="footer"/>
    <w:basedOn w:val="Standaard"/>
    <w:link w:val="VoettekstChar"/>
    <w:uiPriority w:val="99"/>
    <w:unhideWhenUsed/>
    <w:rsid w:val="00F1256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1256E"/>
  </w:style>
  <w:style w:type="character" w:styleId="Intensievebenadrukking">
    <w:name w:val="Intense Emphasis"/>
    <w:basedOn w:val="Standaardalinea-lettertype"/>
    <w:uiPriority w:val="21"/>
    <w:qFormat/>
    <w:rsid w:val="00F1256E"/>
    <w:rPr>
      <w:i/>
      <w:iCs/>
      <w:color w:val="5B9BD5" w:themeColor="accent1"/>
    </w:rPr>
  </w:style>
  <w:style w:type="paragraph" w:styleId="Lijstalinea">
    <w:name w:val="List Paragraph"/>
    <w:basedOn w:val="Standaard"/>
    <w:uiPriority w:val="34"/>
    <w:qFormat/>
    <w:rsid w:val="004951D9"/>
    <w:pPr>
      <w:ind w:left="720"/>
      <w:contextualSpacing/>
    </w:pPr>
  </w:style>
  <w:style w:type="paragraph" w:styleId="Ballontekst">
    <w:name w:val="Balloon Text"/>
    <w:basedOn w:val="Standaard"/>
    <w:link w:val="BallontekstChar"/>
    <w:uiPriority w:val="99"/>
    <w:semiHidden/>
    <w:unhideWhenUsed/>
    <w:rsid w:val="00FE290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2900"/>
    <w:rPr>
      <w:rFonts w:ascii="Segoe UI" w:hAnsi="Segoe UI" w:cs="Segoe UI"/>
      <w:sz w:val="18"/>
      <w:szCs w:val="18"/>
    </w:rPr>
  </w:style>
  <w:style w:type="character" w:styleId="Verwijzingopmerking">
    <w:name w:val="annotation reference"/>
    <w:basedOn w:val="Standaardalinea-lettertype"/>
    <w:uiPriority w:val="99"/>
    <w:semiHidden/>
    <w:unhideWhenUsed/>
    <w:rsid w:val="00DD5D7C"/>
    <w:rPr>
      <w:sz w:val="16"/>
      <w:szCs w:val="16"/>
    </w:rPr>
  </w:style>
  <w:style w:type="paragraph" w:styleId="Tekstopmerking">
    <w:name w:val="annotation text"/>
    <w:basedOn w:val="Standaard"/>
    <w:link w:val="TekstopmerkingChar"/>
    <w:uiPriority w:val="99"/>
    <w:semiHidden/>
    <w:unhideWhenUsed/>
    <w:rsid w:val="00DD5D7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5D7C"/>
    <w:rPr>
      <w:sz w:val="20"/>
      <w:szCs w:val="20"/>
    </w:rPr>
  </w:style>
  <w:style w:type="paragraph" w:styleId="Onderwerpvanopmerking">
    <w:name w:val="annotation subject"/>
    <w:basedOn w:val="Tekstopmerking"/>
    <w:next w:val="Tekstopmerking"/>
    <w:link w:val="OnderwerpvanopmerkingChar"/>
    <w:uiPriority w:val="99"/>
    <w:semiHidden/>
    <w:unhideWhenUsed/>
    <w:rsid w:val="00DD5D7C"/>
    <w:rPr>
      <w:b/>
      <w:bCs/>
    </w:rPr>
  </w:style>
  <w:style w:type="character" w:customStyle="1" w:styleId="OnderwerpvanopmerkingChar">
    <w:name w:val="Onderwerp van opmerking Char"/>
    <w:basedOn w:val="TekstopmerkingChar"/>
    <w:link w:val="Onderwerpvanopmerking"/>
    <w:uiPriority w:val="99"/>
    <w:semiHidden/>
    <w:rsid w:val="00DD5D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09478">
      <w:bodyDiv w:val="1"/>
      <w:marLeft w:val="0"/>
      <w:marRight w:val="0"/>
      <w:marTop w:val="0"/>
      <w:marBottom w:val="0"/>
      <w:divBdr>
        <w:top w:val="none" w:sz="0" w:space="0" w:color="auto"/>
        <w:left w:val="none" w:sz="0" w:space="0" w:color="auto"/>
        <w:bottom w:val="none" w:sz="0" w:space="0" w:color="auto"/>
        <w:right w:val="none" w:sz="0" w:space="0" w:color="auto"/>
      </w:divBdr>
      <w:divsChild>
        <w:div w:id="1872186884">
          <w:marLeft w:val="432"/>
          <w:marRight w:val="0"/>
          <w:marTop w:val="0"/>
          <w:marBottom w:val="120"/>
          <w:divBdr>
            <w:top w:val="none" w:sz="0" w:space="0" w:color="auto"/>
            <w:left w:val="none" w:sz="0" w:space="0" w:color="auto"/>
            <w:bottom w:val="none" w:sz="0" w:space="0" w:color="auto"/>
            <w:right w:val="none" w:sz="0" w:space="0" w:color="auto"/>
          </w:divBdr>
        </w:div>
      </w:divsChild>
    </w:div>
    <w:div w:id="415709972">
      <w:bodyDiv w:val="1"/>
      <w:marLeft w:val="0"/>
      <w:marRight w:val="0"/>
      <w:marTop w:val="0"/>
      <w:marBottom w:val="0"/>
      <w:divBdr>
        <w:top w:val="none" w:sz="0" w:space="0" w:color="auto"/>
        <w:left w:val="none" w:sz="0" w:space="0" w:color="auto"/>
        <w:bottom w:val="none" w:sz="0" w:space="0" w:color="auto"/>
        <w:right w:val="none" w:sz="0" w:space="0" w:color="auto"/>
      </w:divBdr>
      <w:divsChild>
        <w:div w:id="420295961">
          <w:marLeft w:val="0"/>
          <w:marRight w:val="0"/>
          <w:marTop w:val="0"/>
          <w:marBottom w:val="0"/>
          <w:divBdr>
            <w:top w:val="none" w:sz="0" w:space="0" w:color="auto"/>
            <w:left w:val="none" w:sz="0" w:space="0" w:color="auto"/>
            <w:bottom w:val="none" w:sz="0" w:space="0" w:color="auto"/>
            <w:right w:val="none" w:sz="0" w:space="0" w:color="auto"/>
          </w:divBdr>
        </w:div>
        <w:div w:id="474105001">
          <w:marLeft w:val="0"/>
          <w:marRight w:val="0"/>
          <w:marTop w:val="0"/>
          <w:marBottom w:val="0"/>
          <w:divBdr>
            <w:top w:val="none" w:sz="0" w:space="0" w:color="auto"/>
            <w:left w:val="none" w:sz="0" w:space="0" w:color="auto"/>
            <w:bottom w:val="none" w:sz="0" w:space="0" w:color="auto"/>
            <w:right w:val="none" w:sz="0" w:space="0" w:color="auto"/>
          </w:divBdr>
        </w:div>
        <w:div w:id="493648580">
          <w:marLeft w:val="0"/>
          <w:marRight w:val="0"/>
          <w:marTop w:val="0"/>
          <w:marBottom w:val="0"/>
          <w:divBdr>
            <w:top w:val="none" w:sz="0" w:space="0" w:color="auto"/>
            <w:left w:val="none" w:sz="0" w:space="0" w:color="auto"/>
            <w:bottom w:val="none" w:sz="0" w:space="0" w:color="auto"/>
            <w:right w:val="none" w:sz="0" w:space="0" w:color="auto"/>
          </w:divBdr>
        </w:div>
        <w:div w:id="1150903454">
          <w:marLeft w:val="0"/>
          <w:marRight w:val="0"/>
          <w:marTop w:val="0"/>
          <w:marBottom w:val="0"/>
          <w:divBdr>
            <w:top w:val="none" w:sz="0" w:space="0" w:color="auto"/>
            <w:left w:val="none" w:sz="0" w:space="0" w:color="auto"/>
            <w:bottom w:val="none" w:sz="0" w:space="0" w:color="auto"/>
            <w:right w:val="none" w:sz="0" w:space="0" w:color="auto"/>
          </w:divBdr>
        </w:div>
        <w:div w:id="1615677000">
          <w:marLeft w:val="0"/>
          <w:marRight w:val="0"/>
          <w:marTop w:val="0"/>
          <w:marBottom w:val="0"/>
          <w:divBdr>
            <w:top w:val="none" w:sz="0" w:space="0" w:color="auto"/>
            <w:left w:val="none" w:sz="0" w:space="0" w:color="auto"/>
            <w:bottom w:val="none" w:sz="0" w:space="0" w:color="auto"/>
            <w:right w:val="none" w:sz="0" w:space="0" w:color="auto"/>
          </w:divBdr>
        </w:div>
      </w:divsChild>
    </w:div>
    <w:div w:id="1241603781">
      <w:bodyDiv w:val="1"/>
      <w:marLeft w:val="0"/>
      <w:marRight w:val="0"/>
      <w:marTop w:val="0"/>
      <w:marBottom w:val="0"/>
      <w:divBdr>
        <w:top w:val="none" w:sz="0" w:space="0" w:color="auto"/>
        <w:left w:val="none" w:sz="0" w:space="0" w:color="auto"/>
        <w:bottom w:val="none" w:sz="0" w:space="0" w:color="auto"/>
        <w:right w:val="none" w:sz="0" w:space="0" w:color="auto"/>
      </w:divBdr>
    </w:div>
    <w:div w:id="1778061837">
      <w:bodyDiv w:val="1"/>
      <w:marLeft w:val="0"/>
      <w:marRight w:val="0"/>
      <w:marTop w:val="0"/>
      <w:marBottom w:val="0"/>
      <w:divBdr>
        <w:top w:val="none" w:sz="0" w:space="0" w:color="auto"/>
        <w:left w:val="none" w:sz="0" w:space="0" w:color="auto"/>
        <w:bottom w:val="none" w:sz="0" w:space="0" w:color="auto"/>
        <w:right w:val="none" w:sz="0" w:space="0" w:color="auto"/>
      </w:divBdr>
    </w:div>
    <w:div w:id="200392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25917B0C2324FBF4863FD2196A7A3" ma:contentTypeVersion="0" ma:contentTypeDescription="Create a new document." ma:contentTypeScope="" ma:versionID="3ff846c2d4db515f5f6cb8940ae998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6946-1BA0-4C6E-B3DF-C27B6475A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DCA550-2AD5-48B5-94EB-ACBBAE949D68}">
  <ds:schemaRefs>
    <ds:schemaRef ds:uri="http://schemas.microsoft.com/sharepoint/v3/contenttype/forms"/>
  </ds:schemaRefs>
</ds:datastoreItem>
</file>

<file path=customXml/itemProps3.xml><?xml version="1.0" encoding="utf-8"?>
<ds:datastoreItem xmlns:ds="http://schemas.openxmlformats.org/officeDocument/2006/customXml" ds:itemID="{DCBA0E51-36B0-40DB-852C-920BC8C8D4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876031-989F-4464-AB63-2D4FA64C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1869</Words>
  <Characters>10656</Characters>
  <Application>Microsoft Office Word</Application>
  <DocSecurity>0</DocSecurity>
  <Lines>88</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ECDC</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Diamantis Plachouras</dc:creator>
  <cp:keywords/>
  <dc:description/>
  <cp:lastModifiedBy>arnold bosman</cp:lastModifiedBy>
  <cp:revision>2</cp:revision>
  <cp:lastPrinted>2018-06-04T18:37:00Z</cp:lastPrinted>
  <dcterms:created xsi:type="dcterms:W3CDTF">2018-06-05T08:41:00Z</dcterms:created>
  <dcterms:modified xsi:type="dcterms:W3CDTF">2018-06-05T08:41:00Z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0x010100E7F25917B0C2324FBF4863FD2196A7A3</vt:lpwstr>
  </property>
</Properties>
</file>