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86B" w:rsidRPr="0068586B" w:rsidRDefault="0068586B" w:rsidP="0068586B">
      <w:pPr>
        <w:jc w:val="center"/>
        <w:rPr>
          <w:b/>
          <w:sz w:val="24"/>
          <w:lang w:val="en-US"/>
        </w:rPr>
      </w:pPr>
      <w:r w:rsidRPr="0068586B">
        <w:rPr>
          <w:b/>
          <w:sz w:val="24"/>
          <w:lang w:val="en-US"/>
        </w:rPr>
        <w:t>GenEpi-BioTrain Virtual Training</w:t>
      </w:r>
    </w:p>
    <w:p w:rsidR="0068586B" w:rsidRPr="0068586B" w:rsidRDefault="0068586B" w:rsidP="0068586B">
      <w:pPr>
        <w:jc w:val="center"/>
        <w:rPr>
          <w:b/>
          <w:sz w:val="24"/>
          <w:lang w:val="en-US"/>
        </w:rPr>
      </w:pPr>
      <w:r w:rsidRPr="0068586B">
        <w:rPr>
          <w:b/>
          <w:sz w:val="24"/>
          <w:lang w:val="en-US"/>
        </w:rPr>
        <w:t>WGS-based detection of AMR</w:t>
      </w:r>
    </w:p>
    <w:p w:rsidR="004D2E08" w:rsidRPr="00C534FE" w:rsidRDefault="00857542" w:rsidP="0068586B">
      <w:pPr>
        <w:jc w:val="center"/>
        <w:rPr>
          <w:b/>
          <w:lang w:val="en-US"/>
        </w:rPr>
      </w:pPr>
      <w:r w:rsidRPr="00C534FE">
        <w:rPr>
          <w:b/>
          <w:lang w:val="en-US"/>
        </w:rPr>
        <w:t>Resources</w:t>
      </w:r>
      <w:r w:rsidR="007859EF" w:rsidRPr="00C534FE">
        <w:rPr>
          <w:b/>
          <w:lang w:val="en-US"/>
        </w:rPr>
        <w:t xml:space="preserve"> and further reading</w:t>
      </w:r>
      <w:r w:rsidR="0068586B">
        <w:rPr>
          <w:b/>
          <w:lang w:val="en-US"/>
        </w:rPr>
        <w:t xml:space="preserve"> linked to Session 1, 4 September 2023</w:t>
      </w:r>
    </w:p>
    <w:p w:rsidR="00857542" w:rsidRDefault="00857542">
      <w:pPr>
        <w:rPr>
          <w:lang w:val="en-US"/>
        </w:rPr>
      </w:pPr>
    </w:p>
    <w:p w:rsidR="0068586B" w:rsidRPr="0068586B" w:rsidRDefault="0068586B" w:rsidP="0068586B">
      <w:pPr>
        <w:pStyle w:val="Listeafsnit"/>
        <w:numPr>
          <w:ilvl w:val="0"/>
          <w:numId w:val="3"/>
        </w:numPr>
        <w:rPr>
          <w:u w:val="single"/>
          <w:lang w:val="en-US"/>
        </w:rPr>
      </w:pPr>
      <w:r w:rsidRPr="0068586B">
        <w:rPr>
          <w:u w:val="single"/>
          <w:lang w:val="en-US"/>
        </w:rPr>
        <w:t>Comprehensive reviews of tools and databases for WGS-based detection of AMR</w:t>
      </w:r>
    </w:p>
    <w:p w:rsidR="007D48D2" w:rsidRPr="007D48D2" w:rsidRDefault="007D48D2" w:rsidP="0068586B">
      <w:pPr>
        <w:rPr>
          <w:rFonts w:cstheme="minorHAnsi"/>
          <w:color w:val="212121"/>
          <w:shd w:val="clear" w:color="auto" w:fill="FFFFFF"/>
        </w:rPr>
      </w:pPr>
      <w:proofErr w:type="spellStart"/>
      <w:r w:rsidRPr="007D48D2">
        <w:rPr>
          <w:rFonts w:cstheme="minorHAnsi"/>
          <w:color w:val="212121"/>
          <w:shd w:val="clear" w:color="auto" w:fill="FFFFFF"/>
        </w:rPr>
        <w:t>Boolchandani</w:t>
      </w:r>
      <w:proofErr w:type="spellEnd"/>
      <w:r w:rsidRPr="007D48D2">
        <w:rPr>
          <w:rFonts w:cstheme="minorHAnsi"/>
          <w:color w:val="212121"/>
          <w:shd w:val="clear" w:color="auto" w:fill="FFFFFF"/>
        </w:rPr>
        <w:t xml:space="preserve">, M., D'Souza, A. W., &amp; </w:t>
      </w:r>
      <w:proofErr w:type="spellStart"/>
      <w:r w:rsidRPr="007D48D2">
        <w:rPr>
          <w:rFonts w:cstheme="minorHAnsi"/>
          <w:color w:val="212121"/>
          <w:shd w:val="clear" w:color="auto" w:fill="FFFFFF"/>
        </w:rPr>
        <w:t>Dantas</w:t>
      </w:r>
      <w:proofErr w:type="spellEnd"/>
      <w:r w:rsidRPr="007D48D2">
        <w:rPr>
          <w:rFonts w:cstheme="minorHAnsi"/>
          <w:color w:val="212121"/>
          <w:shd w:val="clear" w:color="auto" w:fill="FFFFFF"/>
        </w:rPr>
        <w:t>, G. (2019). Sequencing-based methods and resources to study antimicrobial resistance. </w:t>
      </w:r>
      <w:r w:rsidRPr="007D48D2">
        <w:rPr>
          <w:rFonts w:cstheme="minorHAnsi"/>
          <w:i/>
          <w:iCs/>
          <w:color w:val="212121"/>
          <w:shd w:val="clear" w:color="auto" w:fill="FFFFFF"/>
        </w:rPr>
        <w:t>Nature reviews. Genetics</w:t>
      </w:r>
      <w:r w:rsidRPr="007D48D2">
        <w:rPr>
          <w:rFonts w:cstheme="minorHAnsi"/>
          <w:color w:val="212121"/>
          <w:shd w:val="clear" w:color="auto" w:fill="FFFFFF"/>
        </w:rPr>
        <w:t>, </w:t>
      </w:r>
      <w:r w:rsidRPr="007D48D2">
        <w:rPr>
          <w:rFonts w:cstheme="minorHAnsi"/>
          <w:i/>
          <w:iCs/>
          <w:color w:val="212121"/>
          <w:shd w:val="clear" w:color="auto" w:fill="FFFFFF"/>
        </w:rPr>
        <w:t>20</w:t>
      </w:r>
      <w:r w:rsidRPr="007D48D2">
        <w:rPr>
          <w:rFonts w:cstheme="minorHAnsi"/>
          <w:color w:val="212121"/>
          <w:shd w:val="clear" w:color="auto" w:fill="FFFFFF"/>
        </w:rPr>
        <w:t xml:space="preserve">(6), 356–370. </w:t>
      </w:r>
      <w:hyperlink r:id="rId5" w:history="1">
        <w:r w:rsidRPr="007D48D2">
          <w:rPr>
            <w:rStyle w:val="Hyperlink"/>
            <w:rFonts w:cstheme="minorHAnsi"/>
            <w:shd w:val="clear" w:color="auto" w:fill="FFFFFF"/>
          </w:rPr>
          <w:t>https://doi.org/10.1038/s41576-019-0108-4</w:t>
        </w:r>
      </w:hyperlink>
      <w:bookmarkStart w:id="0" w:name="_GoBack"/>
      <w:bookmarkEnd w:id="0"/>
    </w:p>
    <w:p w:rsidR="006D7995" w:rsidRPr="006D7995" w:rsidRDefault="006D7995" w:rsidP="0068586B">
      <w:pPr>
        <w:rPr>
          <w:rFonts w:cstheme="minorHAnsi"/>
          <w:color w:val="212121"/>
          <w:shd w:val="clear" w:color="auto" w:fill="FFFFFF"/>
        </w:rPr>
      </w:pPr>
      <w:r w:rsidRPr="006D7995">
        <w:rPr>
          <w:rFonts w:cstheme="minorHAnsi"/>
          <w:color w:val="212121"/>
          <w:shd w:val="clear" w:color="auto" w:fill="FFFFFF"/>
        </w:rPr>
        <w:t>Hendriksen, R. S., Bortolaia, V., Tate, H., Tyson, G. H., Aarestrup, F. M., &amp; McDermott, P. F. (2019). Using Genomics to Track Global Antimicrobial Resistance. </w:t>
      </w:r>
      <w:r w:rsidRPr="006D7995">
        <w:rPr>
          <w:rFonts w:cstheme="minorHAnsi"/>
          <w:i/>
          <w:iCs/>
          <w:color w:val="212121"/>
          <w:shd w:val="clear" w:color="auto" w:fill="FFFFFF"/>
        </w:rPr>
        <w:t>Frontiers in public health</w:t>
      </w:r>
      <w:r w:rsidRPr="006D7995">
        <w:rPr>
          <w:rFonts w:cstheme="minorHAnsi"/>
          <w:color w:val="212121"/>
          <w:shd w:val="clear" w:color="auto" w:fill="FFFFFF"/>
        </w:rPr>
        <w:t>, </w:t>
      </w:r>
      <w:r w:rsidRPr="006D7995">
        <w:rPr>
          <w:rFonts w:cstheme="minorHAnsi"/>
          <w:i/>
          <w:iCs/>
          <w:color w:val="212121"/>
          <w:shd w:val="clear" w:color="auto" w:fill="FFFFFF"/>
        </w:rPr>
        <w:t>7</w:t>
      </w:r>
      <w:r w:rsidRPr="006D7995">
        <w:rPr>
          <w:rFonts w:cstheme="minorHAnsi"/>
          <w:color w:val="212121"/>
          <w:shd w:val="clear" w:color="auto" w:fill="FFFFFF"/>
        </w:rPr>
        <w:t xml:space="preserve">, 242. </w:t>
      </w:r>
      <w:hyperlink r:id="rId6" w:history="1">
        <w:r w:rsidRPr="006D7995">
          <w:rPr>
            <w:rStyle w:val="Hyperlink"/>
            <w:rFonts w:cstheme="minorHAnsi"/>
            <w:shd w:val="clear" w:color="auto" w:fill="FFFFFF"/>
          </w:rPr>
          <w:t>https://doi.org/10.3389/fpubh.2019.00242</w:t>
        </w:r>
      </w:hyperlink>
      <w:r w:rsidRPr="006D7995">
        <w:rPr>
          <w:rFonts w:cstheme="minorHAnsi"/>
          <w:color w:val="212121"/>
          <w:shd w:val="clear" w:color="auto" w:fill="FFFFFF"/>
        </w:rPr>
        <w:t xml:space="preserve"> </w:t>
      </w:r>
    </w:p>
    <w:p w:rsidR="0068586B" w:rsidRPr="0068586B" w:rsidRDefault="0068586B" w:rsidP="0068586B">
      <w:pPr>
        <w:rPr>
          <w:rFonts w:cstheme="minorHAnsi"/>
          <w:color w:val="212121"/>
          <w:shd w:val="clear" w:color="auto" w:fill="FFFFFF"/>
        </w:rPr>
      </w:pPr>
      <w:r w:rsidRPr="0068586B">
        <w:rPr>
          <w:rFonts w:cstheme="minorHAnsi"/>
          <w:color w:val="212121"/>
          <w:shd w:val="clear" w:color="auto" w:fill="FFFFFF"/>
        </w:rPr>
        <w:t xml:space="preserve">Papp, M., &amp; </w:t>
      </w:r>
      <w:proofErr w:type="spellStart"/>
      <w:r w:rsidRPr="0068586B">
        <w:rPr>
          <w:rFonts w:cstheme="minorHAnsi"/>
          <w:color w:val="212121"/>
          <w:shd w:val="clear" w:color="auto" w:fill="FFFFFF"/>
        </w:rPr>
        <w:t>Solymosi</w:t>
      </w:r>
      <w:proofErr w:type="spellEnd"/>
      <w:r w:rsidRPr="0068586B">
        <w:rPr>
          <w:rFonts w:cstheme="minorHAnsi"/>
          <w:color w:val="212121"/>
          <w:shd w:val="clear" w:color="auto" w:fill="FFFFFF"/>
        </w:rPr>
        <w:t>, N. (2022). Review and Comparison of Antimicrobial Resistance Gene Databases. </w:t>
      </w:r>
      <w:r w:rsidRPr="0068586B">
        <w:rPr>
          <w:rFonts w:cstheme="minorHAnsi"/>
          <w:i/>
          <w:iCs/>
          <w:color w:val="212121"/>
          <w:shd w:val="clear" w:color="auto" w:fill="FFFFFF"/>
        </w:rPr>
        <w:t>Antibiotics (Basel, Switzerland)</w:t>
      </w:r>
      <w:r w:rsidRPr="0068586B">
        <w:rPr>
          <w:rFonts w:cstheme="minorHAnsi"/>
          <w:color w:val="212121"/>
          <w:shd w:val="clear" w:color="auto" w:fill="FFFFFF"/>
        </w:rPr>
        <w:t>, </w:t>
      </w:r>
      <w:r w:rsidRPr="0068586B">
        <w:rPr>
          <w:rFonts w:cstheme="minorHAnsi"/>
          <w:i/>
          <w:iCs/>
          <w:color w:val="212121"/>
          <w:shd w:val="clear" w:color="auto" w:fill="FFFFFF"/>
        </w:rPr>
        <w:t>11</w:t>
      </w:r>
      <w:r w:rsidRPr="0068586B">
        <w:rPr>
          <w:rFonts w:cstheme="minorHAnsi"/>
          <w:color w:val="212121"/>
          <w:shd w:val="clear" w:color="auto" w:fill="FFFFFF"/>
        </w:rPr>
        <w:t xml:space="preserve">(3), 339. </w:t>
      </w:r>
      <w:hyperlink r:id="rId7" w:history="1">
        <w:r w:rsidRPr="0068586B">
          <w:rPr>
            <w:rStyle w:val="Hyperlink"/>
            <w:rFonts w:cstheme="minorHAnsi"/>
            <w:shd w:val="clear" w:color="auto" w:fill="FFFFFF"/>
          </w:rPr>
          <w:t>https://doi.org/10.3390/antibiotics11030339</w:t>
        </w:r>
      </w:hyperlink>
      <w:r w:rsidRPr="0068586B">
        <w:rPr>
          <w:rFonts w:cstheme="minorHAnsi"/>
          <w:color w:val="212121"/>
          <w:shd w:val="clear" w:color="auto" w:fill="FFFFFF"/>
        </w:rPr>
        <w:t xml:space="preserve"> </w:t>
      </w:r>
    </w:p>
    <w:p w:rsidR="00F537BC" w:rsidRPr="00B851AB" w:rsidRDefault="00F537BC" w:rsidP="0068586B">
      <w:pPr>
        <w:pStyle w:val="Listeafsnit"/>
        <w:numPr>
          <w:ilvl w:val="0"/>
          <w:numId w:val="3"/>
        </w:numPr>
        <w:rPr>
          <w:u w:val="single"/>
          <w:lang w:val="en-US"/>
        </w:rPr>
      </w:pPr>
      <w:r w:rsidRPr="00B851AB">
        <w:rPr>
          <w:u w:val="single"/>
          <w:lang w:val="en-US"/>
        </w:rPr>
        <w:t xml:space="preserve">Excellent resources for </w:t>
      </w:r>
      <w:r w:rsidR="00B851AB">
        <w:rPr>
          <w:u w:val="single"/>
          <w:lang w:val="en-US"/>
        </w:rPr>
        <w:t xml:space="preserve">selected </w:t>
      </w:r>
      <w:r w:rsidRPr="00B851AB">
        <w:rPr>
          <w:u w:val="single"/>
          <w:lang w:val="en-US"/>
        </w:rPr>
        <w:t>AMR genes/mutations knowledge</w:t>
      </w:r>
    </w:p>
    <w:p w:rsidR="000B0E75" w:rsidRDefault="000B0E75" w:rsidP="00F537B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Beta-lactamases: </w:t>
      </w:r>
      <w:hyperlink r:id="rId8" w:history="1">
        <w:r w:rsidRPr="006353B0">
          <w:rPr>
            <w:rStyle w:val="Hyperlink"/>
            <w:lang w:val="en-US"/>
          </w:rPr>
          <w:t>http://bldb.eu/</w:t>
        </w:r>
      </w:hyperlink>
      <w:r>
        <w:rPr>
          <w:lang w:val="en-US"/>
        </w:rPr>
        <w:t xml:space="preserve"> </w:t>
      </w:r>
    </w:p>
    <w:p w:rsidR="000B0E75" w:rsidRDefault="000B0E75" w:rsidP="00F537B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Colistin resistance </w:t>
      </w:r>
      <w:hyperlink r:id="rId9" w:history="1">
        <w:r w:rsidRPr="006353B0">
          <w:rPr>
            <w:rStyle w:val="Hyperlink"/>
            <w:lang w:val="en-US"/>
          </w:rPr>
          <w:t>https://pubmed.ncbi.nlm.nih.gov/34612488/</w:t>
        </w:r>
      </w:hyperlink>
    </w:p>
    <w:p w:rsidR="00F537BC" w:rsidRDefault="00F537BC" w:rsidP="00F537BC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Tetracycline, macrolide, </w:t>
      </w:r>
      <w:proofErr w:type="spellStart"/>
      <w:r>
        <w:rPr>
          <w:lang w:val="en-US"/>
        </w:rPr>
        <w:t>lincosamide</w:t>
      </w:r>
      <w:proofErr w:type="spellEnd"/>
      <w:r>
        <w:rPr>
          <w:lang w:val="en-US"/>
        </w:rPr>
        <w:t xml:space="preserve"> and streptogramin resistance genes</w:t>
      </w:r>
      <w:r w:rsidR="000B0E75">
        <w:rPr>
          <w:lang w:val="en-US"/>
        </w:rPr>
        <w:t>:</w:t>
      </w:r>
      <w:r>
        <w:rPr>
          <w:lang w:val="en-US"/>
        </w:rPr>
        <w:t xml:space="preserve"> </w:t>
      </w:r>
      <w:hyperlink r:id="rId10" w:history="1">
        <w:r w:rsidR="000B0E75" w:rsidRPr="006353B0">
          <w:rPr>
            <w:rStyle w:val="Hyperlink"/>
            <w:lang w:val="en-US"/>
          </w:rPr>
          <w:t>https://faculty.washington.edu/marilynr/</w:t>
        </w:r>
      </w:hyperlink>
      <w:r>
        <w:rPr>
          <w:lang w:val="en-US"/>
        </w:rPr>
        <w:t xml:space="preserve"> </w:t>
      </w:r>
    </w:p>
    <w:p w:rsidR="007D48D2" w:rsidRDefault="007D48D2" w:rsidP="007D48D2">
      <w:pPr>
        <w:pStyle w:val="Listeafsnit"/>
        <w:ind w:left="360"/>
        <w:rPr>
          <w:lang w:val="en-US"/>
        </w:rPr>
      </w:pPr>
    </w:p>
    <w:p w:rsidR="00C534FE" w:rsidRPr="00B851AB" w:rsidRDefault="00F77EF9" w:rsidP="007D48D2">
      <w:pPr>
        <w:pStyle w:val="Listeafsnit"/>
        <w:numPr>
          <w:ilvl w:val="0"/>
          <w:numId w:val="3"/>
        </w:numPr>
        <w:rPr>
          <w:u w:val="single"/>
          <w:lang w:val="en-US"/>
        </w:rPr>
      </w:pPr>
      <w:r w:rsidRPr="00B851AB">
        <w:rPr>
          <w:u w:val="single"/>
          <w:lang w:val="en-US"/>
        </w:rPr>
        <w:t>A resource to improve u</w:t>
      </w:r>
      <w:r w:rsidR="007D48D2" w:rsidRPr="00B851AB">
        <w:rPr>
          <w:u w:val="single"/>
          <w:lang w:val="en-US"/>
        </w:rPr>
        <w:t xml:space="preserve">nderstanding </w:t>
      </w:r>
      <w:r w:rsidRPr="00B851AB">
        <w:rPr>
          <w:u w:val="single"/>
          <w:lang w:val="en-US"/>
        </w:rPr>
        <w:t xml:space="preserve">regarding </w:t>
      </w:r>
      <w:r w:rsidR="007D48D2" w:rsidRPr="00B851AB">
        <w:rPr>
          <w:u w:val="single"/>
          <w:lang w:val="en-US"/>
        </w:rPr>
        <w:t>alignment and mapping</w:t>
      </w:r>
      <w:r w:rsidRPr="00B851AB">
        <w:rPr>
          <w:u w:val="single"/>
          <w:lang w:val="en-US"/>
        </w:rPr>
        <w:t xml:space="preserve"> methods</w:t>
      </w:r>
    </w:p>
    <w:p w:rsidR="007D48D2" w:rsidRPr="00B851AB" w:rsidRDefault="007D48D2" w:rsidP="00B851AB">
      <w:pPr>
        <w:pStyle w:val="Listeafsnit"/>
        <w:numPr>
          <w:ilvl w:val="0"/>
          <w:numId w:val="5"/>
        </w:numPr>
        <w:rPr>
          <w:rStyle w:val="Hyperlink"/>
          <w:lang w:val="en-US"/>
        </w:rPr>
      </w:pPr>
      <w:r>
        <w:fldChar w:fldCharType="begin"/>
      </w:r>
      <w:r>
        <w:instrText xml:space="preserve"> HYPERLINK "https://www.eurl-ar.eu/CustomerData/Files/Folders/31-training-course-kgs-lyngby-2018/435_alignment-and-mapping-philip-clausen.pdf" </w:instrText>
      </w:r>
      <w:r>
        <w:fldChar w:fldCharType="separate"/>
      </w:r>
      <w:r w:rsidRPr="007D48D2">
        <w:rPr>
          <w:rStyle w:val="Hyperlink"/>
        </w:rPr>
        <w:t>Alignm</w:t>
      </w:r>
      <w:r w:rsidRPr="007D48D2">
        <w:rPr>
          <w:rStyle w:val="Hyperlink"/>
        </w:rPr>
        <w:t>e</w:t>
      </w:r>
      <w:r w:rsidRPr="007D48D2">
        <w:rPr>
          <w:rStyle w:val="Hyperlink"/>
        </w:rPr>
        <w:t xml:space="preserve">nt and mapping (eurl-ar.eu) </w:t>
      </w:r>
    </w:p>
    <w:p w:rsidR="00B851AB" w:rsidRDefault="007D48D2" w:rsidP="00B851AB">
      <w:pPr>
        <w:pStyle w:val="Listeafsnit"/>
        <w:ind w:left="360"/>
      </w:pPr>
      <w:r>
        <w:fldChar w:fldCharType="end"/>
      </w:r>
    </w:p>
    <w:p w:rsidR="00267DBE" w:rsidRPr="00B851AB" w:rsidRDefault="00267DBE" w:rsidP="00B851AB">
      <w:pPr>
        <w:pStyle w:val="Listeafsnit"/>
        <w:numPr>
          <w:ilvl w:val="0"/>
          <w:numId w:val="3"/>
        </w:numPr>
        <w:rPr>
          <w:u w:val="single"/>
        </w:rPr>
      </w:pPr>
      <w:r w:rsidRPr="00B851AB">
        <w:rPr>
          <w:u w:val="single"/>
        </w:rPr>
        <w:t>An overview of bioinformatics approaches to detect AMR</w:t>
      </w:r>
    </w:p>
    <w:p w:rsidR="00267DBE" w:rsidRPr="00267DBE" w:rsidRDefault="00267DBE" w:rsidP="00267DBE">
      <w:pPr>
        <w:pStyle w:val="Listeafsnit"/>
        <w:numPr>
          <w:ilvl w:val="0"/>
          <w:numId w:val="4"/>
        </w:numPr>
        <w:rPr>
          <w:rFonts w:cstheme="minorHAnsi"/>
        </w:rPr>
      </w:pPr>
      <w:r w:rsidRPr="00267DBE">
        <w:rPr>
          <w:rFonts w:cstheme="minorHAnsi"/>
          <w:color w:val="212121"/>
          <w:shd w:val="clear" w:color="auto" w:fill="FFFFFF"/>
        </w:rPr>
        <w:t xml:space="preserve">Van Camp, P. J., Haslam, D. B., &amp; </w:t>
      </w:r>
      <w:proofErr w:type="spellStart"/>
      <w:r w:rsidRPr="00267DBE">
        <w:rPr>
          <w:rFonts w:cstheme="minorHAnsi"/>
          <w:color w:val="212121"/>
          <w:shd w:val="clear" w:color="auto" w:fill="FFFFFF"/>
        </w:rPr>
        <w:t>Porollo</w:t>
      </w:r>
      <w:proofErr w:type="spellEnd"/>
      <w:r w:rsidRPr="00267DBE">
        <w:rPr>
          <w:rFonts w:cstheme="minorHAnsi"/>
          <w:color w:val="212121"/>
          <w:shd w:val="clear" w:color="auto" w:fill="FFFFFF"/>
        </w:rPr>
        <w:t>, A. (2020). Bioinformatics Approaches to the Understanding of Molecular Mechanisms in Antimicrobial Resistance. </w:t>
      </w:r>
      <w:r w:rsidRPr="00267DBE">
        <w:rPr>
          <w:rFonts w:cstheme="minorHAnsi"/>
          <w:i/>
          <w:iCs/>
          <w:color w:val="212121"/>
          <w:shd w:val="clear" w:color="auto" w:fill="FFFFFF"/>
        </w:rPr>
        <w:t>International journal of molecular sciences</w:t>
      </w:r>
      <w:r w:rsidRPr="00267DBE">
        <w:rPr>
          <w:rFonts w:cstheme="minorHAnsi"/>
          <w:color w:val="212121"/>
          <w:shd w:val="clear" w:color="auto" w:fill="FFFFFF"/>
        </w:rPr>
        <w:t>, </w:t>
      </w:r>
      <w:r w:rsidRPr="00267DBE">
        <w:rPr>
          <w:rFonts w:cstheme="minorHAnsi"/>
          <w:i/>
          <w:iCs/>
          <w:color w:val="212121"/>
          <w:shd w:val="clear" w:color="auto" w:fill="FFFFFF"/>
        </w:rPr>
        <w:t>21</w:t>
      </w:r>
      <w:r w:rsidRPr="00267DBE">
        <w:rPr>
          <w:rFonts w:cstheme="minorHAnsi"/>
          <w:color w:val="212121"/>
          <w:shd w:val="clear" w:color="auto" w:fill="FFFFFF"/>
        </w:rPr>
        <w:t xml:space="preserve">(4), 1363. </w:t>
      </w:r>
      <w:hyperlink r:id="rId11" w:history="1">
        <w:r w:rsidRPr="00267DBE">
          <w:rPr>
            <w:rStyle w:val="Hyperlink"/>
            <w:rFonts w:cstheme="minorHAnsi"/>
            <w:shd w:val="clear" w:color="auto" w:fill="FFFFFF"/>
          </w:rPr>
          <w:t>https://doi.org/10.3390/ijms21041363</w:t>
        </w:r>
      </w:hyperlink>
      <w:r w:rsidRPr="00267DBE">
        <w:rPr>
          <w:rFonts w:cstheme="minorHAnsi"/>
          <w:color w:val="212121"/>
          <w:shd w:val="clear" w:color="auto" w:fill="FFFFFF"/>
        </w:rPr>
        <w:t xml:space="preserve"> </w:t>
      </w:r>
    </w:p>
    <w:p w:rsidR="00B851AB" w:rsidRDefault="00B851AB" w:rsidP="00B851AB">
      <w:pPr>
        <w:pStyle w:val="Listeafsnit"/>
        <w:ind w:left="360"/>
      </w:pPr>
    </w:p>
    <w:p w:rsidR="00267DBE" w:rsidRPr="00B851AB" w:rsidRDefault="00B851AB" w:rsidP="00B851AB">
      <w:pPr>
        <w:pStyle w:val="Listeafsnit"/>
        <w:numPr>
          <w:ilvl w:val="0"/>
          <w:numId w:val="3"/>
        </w:numPr>
        <w:rPr>
          <w:u w:val="single"/>
        </w:rPr>
      </w:pPr>
      <w:r w:rsidRPr="00B851AB">
        <w:rPr>
          <w:u w:val="single"/>
        </w:rPr>
        <w:t xml:space="preserve">The go-to webpage for breakpoints and technical aspects of phenotypic in vitro antimicrobial susceptibility testing, including information on resistance mechanisms and </w:t>
      </w:r>
      <w:r>
        <w:rPr>
          <w:u w:val="single"/>
        </w:rPr>
        <w:t>expected resistance and susceptible phenotypes</w:t>
      </w:r>
    </w:p>
    <w:p w:rsidR="00B851AB" w:rsidRDefault="00B851AB" w:rsidP="00B851AB">
      <w:pPr>
        <w:pStyle w:val="Listeafsnit"/>
        <w:numPr>
          <w:ilvl w:val="0"/>
          <w:numId w:val="4"/>
        </w:numPr>
      </w:pPr>
      <w:hyperlink r:id="rId12" w:history="1">
        <w:proofErr w:type="spellStart"/>
        <w:r>
          <w:rPr>
            <w:rStyle w:val="Hyperlink"/>
          </w:rPr>
          <w:t>eucast</w:t>
        </w:r>
        <w:proofErr w:type="spellEnd"/>
        <w:r>
          <w:rPr>
            <w:rStyle w:val="Hyperlink"/>
          </w:rPr>
          <w:t>: EUCAST</w:t>
        </w:r>
      </w:hyperlink>
    </w:p>
    <w:p w:rsidR="00267DBE" w:rsidRDefault="00267DBE" w:rsidP="00C534FE"/>
    <w:p w:rsidR="00C534FE" w:rsidRPr="00C534FE" w:rsidRDefault="00C534FE" w:rsidP="00C534FE">
      <w:pPr>
        <w:rPr>
          <w:lang w:val="en-US"/>
        </w:rPr>
      </w:pPr>
    </w:p>
    <w:sectPr w:rsidR="00C534FE" w:rsidRPr="00C534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33D29"/>
    <w:multiLevelType w:val="hybridMultilevel"/>
    <w:tmpl w:val="F7787442"/>
    <w:lvl w:ilvl="0" w:tplc="B1F6C83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84EA9"/>
    <w:multiLevelType w:val="hybridMultilevel"/>
    <w:tmpl w:val="A7060F0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9953D3"/>
    <w:multiLevelType w:val="hybridMultilevel"/>
    <w:tmpl w:val="50B802E2"/>
    <w:lvl w:ilvl="0" w:tplc="1C3A2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627F9"/>
    <w:multiLevelType w:val="hybridMultilevel"/>
    <w:tmpl w:val="4E8E22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6798C"/>
    <w:multiLevelType w:val="hybridMultilevel"/>
    <w:tmpl w:val="A7585D4A"/>
    <w:lvl w:ilvl="0" w:tplc="B1F6C83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42"/>
    <w:rsid w:val="000A643A"/>
    <w:rsid w:val="000B0E75"/>
    <w:rsid w:val="00267DBE"/>
    <w:rsid w:val="00274D6B"/>
    <w:rsid w:val="003E1CEB"/>
    <w:rsid w:val="0041248A"/>
    <w:rsid w:val="004D2E08"/>
    <w:rsid w:val="0068022B"/>
    <w:rsid w:val="0068586B"/>
    <w:rsid w:val="006D7995"/>
    <w:rsid w:val="007859EF"/>
    <w:rsid w:val="007D48D2"/>
    <w:rsid w:val="00857542"/>
    <w:rsid w:val="009677A9"/>
    <w:rsid w:val="00AD1083"/>
    <w:rsid w:val="00B851AB"/>
    <w:rsid w:val="00C2086F"/>
    <w:rsid w:val="00C534FE"/>
    <w:rsid w:val="00E1531F"/>
    <w:rsid w:val="00F537BC"/>
    <w:rsid w:val="00F77EF9"/>
    <w:rsid w:val="00F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827F"/>
  <w15:chartTrackingRefBased/>
  <w15:docId w15:val="{07E696F7-7CFD-497F-8411-8245ADFA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57542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754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68022B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D48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db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antibiotics11030339" TargetMode="External"/><Relationship Id="rId12" Type="http://schemas.openxmlformats.org/officeDocument/2006/relationships/hyperlink" Target="https://www.eucas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89/fpubh.2019.00242" TargetMode="External"/><Relationship Id="rId11" Type="http://schemas.openxmlformats.org/officeDocument/2006/relationships/hyperlink" Target="https://doi.org/10.3390/ijms21041363" TargetMode="External"/><Relationship Id="rId5" Type="http://schemas.openxmlformats.org/officeDocument/2006/relationships/hyperlink" Target="https://doi.org/10.1038/s41576-019-0108-4" TargetMode="External"/><Relationship Id="rId10" Type="http://schemas.openxmlformats.org/officeDocument/2006/relationships/hyperlink" Target="https://faculty.washington.edu/marilyn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461248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Bortolaia</dc:creator>
  <cp:keywords/>
  <dc:description/>
  <cp:lastModifiedBy>Valeria Bortolaia</cp:lastModifiedBy>
  <cp:revision>3</cp:revision>
  <dcterms:created xsi:type="dcterms:W3CDTF">2023-09-05T07:17:00Z</dcterms:created>
  <dcterms:modified xsi:type="dcterms:W3CDTF">2023-09-05T08:56:00Z</dcterms:modified>
</cp:coreProperties>
</file>